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0A" w:rsidRPr="00067876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067876">
        <w:rPr>
          <w:rFonts w:eastAsiaTheme="minorHAnsi"/>
        </w:rPr>
        <w:t>PŘEDMĚT PROJEKTU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 xml:space="preserve">Tato </w:t>
      </w:r>
      <w:r>
        <w:rPr>
          <w:rFonts w:eastAsiaTheme="minorHAnsi"/>
          <w:color w:val="000000"/>
          <w:szCs w:val="24"/>
          <w:lang w:eastAsia="en-US"/>
        </w:rPr>
        <w:t xml:space="preserve">projektová </w:t>
      </w:r>
      <w:r w:rsidRPr="00B72AD4">
        <w:rPr>
          <w:rFonts w:eastAsiaTheme="minorHAnsi"/>
          <w:color w:val="000000"/>
          <w:szCs w:val="24"/>
          <w:lang w:eastAsia="en-US"/>
        </w:rPr>
        <w:t>dokumentace řeší elektrickou požární signalizaci (EPS) v rekonstruované části</w:t>
      </w:r>
      <w:r>
        <w:rPr>
          <w:rFonts w:eastAsiaTheme="minorHAnsi"/>
          <w:color w:val="000000"/>
          <w:szCs w:val="24"/>
          <w:lang w:eastAsia="en-US"/>
        </w:rPr>
        <w:t xml:space="preserve"> interny 1 a 2 umístěné ve 3</w:t>
      </w:r>
      <w:r w:rsidRPr="00B72AD4">
        <w:rPr>
          <w:rFonts w:eastAsiaTheme="minorHAnsi"/>
          <w:color w:val="000000"/>
          <w:szCs w:val="24"/>
          <w:lang w:eastAsia="en-US"/>
        </w:rPr>
        <w:t xml:space="preserve">.NP </w:t>
      </w:r>
      <w:r>
        <w:rPr>
          <w:rFonts w:eastAsiaTheme="minorHAnsi"/>
          <w:color w:val="000000"/>
          <w:szCs w:val="24"/>
          <w:lang w:eastAsia="en-US"/>
        </w:rPr>
        <w:t xml:space="preserve">pavilon </w:t>
      </w:r>
      <w:r w:rsidRPr="00B72AD4">
        <w:rPr>
          <w:rFonts w:eastAsiaTheme="minorHAnsi"/>
          <w:color w:val="000000"/>
          <w:szCs w:val="24"/>
          <w:lang w:eastAsia="en-US"/>
        </w:rPr>
        <w:t xml:space="preserve">„A“ v areálu nemocnice </w:t>
      </w:r>
      <w:proofErr w:type="spellStart"/>
      <w:r w:rsidRPr="00B72AD4">
        <w:rPr>
          <w:rFonts w:eastAsiaTheme="minorHAnsi"/>
          <w:color w:val="000000"/>
          <w:szCs w:val="24"/>
          <w:lang w:eastAsia="en-US"/>
        </w:rPr>
        <w:t>NsP</w:t>
      </w:r>
      <w:proofErr w:type="spellEnd"/>
      <w:r w:rsidRPr="00B72AD4">
        <w:rPr>
          <w:rFonts w:eastAsiaTheme="minorHAnsi"/>
          <w:color w:val="000000"/>
          <w:szCs w:val="24"/>
          <w:lang w:eastAsia="en-US"/>
        </w:rPr>
        <w:t xml:space="preserve"> Karviná Ráj, </w:t>
      </w:r>
      <w:proofErr w:type="spellStart"/>
      <w:proofErr w:type="gramStart"/>
      <w:r w:rsidRPr="00B72AD4">
        <w:rPr>
          <w:rFonts w:eastAsiaTheme="minorHAnsi"/>
          <w:color w:val="000000"/>
          <w:szCs w:val="24"/>
          <w:lang w:eastAsia="en-US"/>
        </w:rPr>
        <w:t>p.o</w:t>
      </w:r>
      <w:proofErr w:type="spellEnd"/>
      <w:r w:rsidRPr="00B72AD4">
        <w:rPr>
          <w:rFonts w:eastAsiaTheme="minorHAnsi"/>
          <w:color w:val="000000"/>
          <w:szCs w:val="24"/>
          <w:lang w:eastAsia="en-US"/>
        </w:rPr>
        <w:t>.</w:t>
      </w:r>
      <w:proofErr w:type="gramEnd"/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Zařízení EPS je schváleno k použití v České republice.</w:t>
      </w:r>
    </w:p>
    <w:p w:rsidR="0041560A" w:rsidRDefault="0041560A" w:rsidP="0041560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5E6C38">
        <w:rPr>
          <w:rFonts w:ascii="Times New Roman" w:hAnsi="Times New Roman" w:cs="Times New Roman"/>
          <w:sz w:val="24"/>
          <w:szCs w:val="24"/>
        </w:rPr>
        <w:t xml:space="preserve">Osvědčení k samostatnému projektování EPS systém LITES a.s.  Liberec pro Valtra Nováka vystaveno dne </w:t>
      </w:r>
      <w:r w:rsidR="003410A1">
        <w:rPr>
          <w:rFonts w:ascii="Times New Roman" w:hAnsi="Times New Roman" w:cs="Times New Roman"/>
          <w:sz w:val="24"/>
          <w:szCs w:val="24"/>
        </w:rPr>
        <w:t>1</w:t>
      </w:r>
      <w:r w:rsidRPr="005E6C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0A1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C38">
        <w:rPr>
          <w:rFonts w:ascii="Times New Roman" w:hAnsi="Times New Roman" w:cs="Times New Roman"/>
          <w:sz w:val="24"/>
          <w:szCs w:val="24"/>
        </w:rPr>
        <w:t>201</w:t>
      </w:r>
      <w:r w:rsidR="003410A1">
        <w:rPr>
          <w:rFonts w:ascii="Times New Roman" w:hAnsi="Times New Roman" w:cs="Times New Roman"/>
          <w:sz w:val="24"/>
          <w:szCs w:val="24"/>
        </w:rPr>
        <w:t>8 ev. č. L/178/2018</w:t>
      </w:r>
      <w:r w:rsidRPr="005E6C38">
        <w:rPr>
          <w:rFonts w:ascii="Times New Roman" w:hAnsi="Times New Roman" w:cs="Times New Roman"/>
          <w:sz w:val="24"/>
          <w:szCs w:val="24"/>
        </w:rPr>
        <w:t>.</w:t>
      </w:r>
    </w:p>
    <w:p w:rsidR="00281ADB" w:rsidRDefault="00281ADB" w:rsidP="0041560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PODKLADY PRO PROJEKT</w:t>
      </w:r>
    </w:p>
    <w:p w:rsidR="005E14AD" w:rsidRDefault="005E14AD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• půdorysné výkresy objektu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• konzultace se zpracovatelem požárně bezpečnostního řešení stavby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• normy ČSN 73 0875, ČSN 34 2710 a normy s nimi související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• katalogové listy prvků a komponentů EPS</w:t>
      </w:r>
    </w:p>
    <w:p w:rsidR="00281ADB" w:rsidRPr="00B72AD4" w:rsidRDefault="00281ADB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PROSTŘEDÍ</w:t>
      </w:r>
    </w:p>
    <w:p w:rsidR="005E14AD" w:rsidRDefault="005E14AD" w:rsidP="0041560A">
      <w:pPr>
        <w:autoSpaceDE w:val="0"/>
        <w:autoSpaceDN w:val="0"/>
        <w:adjustRightInd w:val="0"/>
        <w:rPr>
          <w:rFonts w:eastAsiaTheme="minorHAnsi"/>
          <w:b/>
          <w:bCs/>
          <w:i/>
          <w:iCs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Proudová </w:t>
      </w:r>
      <w:proofErr w:type="gramStart"/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>soustava :</w:t>
      </w:r>
      <w:r>
        <w:rPr>
          <w:rFonts w:eastAsiaTheme="minorHAnsi"/>
          <w:b/>
          <w:bCs/>
          <w:i/>
          <w:iCs/>
          <w:color w:val="000000"/>
          <w:szCs w:val="24"/>
          <w:lang w:eastAsia="en-US"/>
        </w:rPr>
        <w:tab/>
      </w:r>
      <w:r>
        <w:rPr>
          <w:rFonts w:eastAsiaTheme="minorHAnsi"/>
          <w:b/>
          <w:bCs/>
          <w:i/>
          <w:iCs/>
          <w:color w:val="000000"/>
          <w:szCs w:val="24"/>
          <w:lang w:eastAsia="en-US"/>
        </w:rPr>
        <w:tab/>
      </w: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1 NPE</w:t>
      </w:r>
      <w:proofErr w:type="gramEnd"/>
      <w:r w:rsidRPr="00B72AD4">
        <w:rPr>
          <w:rFonts w:eastAsiaTheme="minorHAnsi"/>
          <w:color w:val="000000"/>
          <w:szCs w:val="24"/>
          <w:lang w:eastAsia="en-US"/>
        </w:rPr>
        <w:t>, AC 50 Hz, 230 V/TN-S</w:t>
      </w:r>
      <w:r>
        <w:rPr>
          <w:rFonts w:eastAsiaTheme="minorHAnsi"/>
          <w:color w:val="000000"/>
          <w:szCs w:val="24"/>
          <w:lang w:eastAsia="en-US"/>
        </w:rPr>
        <w:t xml:space="preserve">, </w:t>
      </w:r>
      <w:r w:rsidRPr="00B72AD4">
        <w:rPr>
          <w:rFonts w:eastAsiaTheme="minorHAnsi"/>
          <w:color w:val="000000"/>
          <w:szCs w:val="24"/>
          <w:lang w:eastAsia="en-US"/>
        </w:rPr>
        <w:t>20V IMPULS.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>Ochrana dle ČSN33 2000-4-41ed.</w:t>
      </w:r>
      <w:r w:rsidR="000C39AF">
        <w:rPr>
          <w:rFonts w:eastAsiaTheme="minorHAnsi"/>
          <w:b/>
          <w:bCs/>
          <w:i/>
          <w:iCs/>
          <w:color w:val="000000"/>
          <w:szCs w:val="24"/>
          <w:lang w:eastAsia="en-US"/>
        </w:rPr>
        <w:t>3</w:t>
      </w: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: </w:t>
      </w:r>
      <w:r w:rsidRPr="00B72AD4">
        <w:rPr>
          <w:rFonts w:eastAsiaTheme="minorHAnsi"/>
          <w:color w:val="000000"/>
          <w:szCs w:val="24"/>
          <w:lang w:eastAsia="en-US"/>
        </w:rPr>
        <w:t>samočinným odpojením od zdroje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malým napětím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>Vnější vlivy dle ČSN33 2000-4-41 ed.</w:t>
      </w:r>
      <w:r w:rsidR="000C39AF">
        <w:rPr>
          <w:rFonts w:eastAsiaTheme="minorHAnsi"/>
          <w:b/>
          <w:bCs/>
          <w:i/>
          <w:iCs/>
          <w:color w:val="000000"/>
          <w:szCs w:val="24"/>
          <w:lang w:eastAsia="en-US"/>
        </w:rPr>
        <w:t>3</w:t>
      </w: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+Z1</w:t>
      </w:r>
      <w:r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33 2000-5-51 </w:t>
      </w:r>
      <w:proofErr w:type="gramStart"/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>ed.3 :</w:t>
      </w:r>
      <w:r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b/>
          <w:bCs/>
          <w:i/>
          <w:iCs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pros</w:t>
      </w:r>
      <w:r>
        <w:rPr>
          <w:rFonts w:eastAsiaTheme="minorHAnsi"/>
          <w:color w:val="000000"/>
          <w:szCs w:val="24"/>
          <w:lang w:eastAsia="en-US"/>
        </w:rPr>
        <w:t>tory</w:t>
      </w:r>
      <w:proofErr w:type="gramEnd"/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 xml:space="preserve"> </w:t>
      </w:r>
      <w:r>
        <w:rPr>
          <w:rFonts w:eastAsiaTheme="minorHAnsi"/>
          <w:color w:val="000000"/>
          <w:szCs w:val="24"/>
          <w:lang w:eastAsia="en-US"/>
        </w:rPr>
        <w:t>normální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  <w:lang w:val="cs-CZ"/>
        </w:rPr>
      </w:pPr>
      <w:r w:rsidRPr="00B72AD4">
        <w:rPr>
          <w:rFonts w:eastAsiaTheme="minorHAnsi"/>
        </w:rPr>
        <w:t>TECHNICKÉ ÚDAJE EPS</w:t>
      </w:r>
    </w:p>
    <w:p w:rsidR="005E14AD" w:rsidRPr="005E14AD" w:rsidRDefault="005E14AD" w:rsidP="005E14AD">
      <w:pPr>
        <w:rPr>
          <w:rFonts w:eastAsiaTheme="minorHAnsi"/>
          <w:lang w:eastAsia="x-none"/>
        </w:rPr>
      </w:pPr>
    </w:p>
    <w:p w:rsidR="0041560A" w:rsidRPr="00B72AD4" w:rsidRDefault="0041560A" w:rsidP="005E14AD">
      <w:pPr>
        <w:pStyle w:val="Nadpis2"/>
        <w:numPr>
          <w:ilvl w:val="1"/>
          <w:numId w:val="5"/>
        </w:numPr>
        <w:ind w:left="709" w:hanging="709"/>
        <w:rPr>
          <w:rFonts w:eastAsiaTheme="minorHAnsi"/>
          <w:lang w:eastAsia="en-US"/>
        </w:rPr>
      </w:pPr>
      <w:r w:rsidRPr="00B72AD4">
        <w:rPr>
          <w:rFonts w:eastAsiaTheme="minorHAnsi"/>
          <w:lang w:eastAsia="en-US"/>
        </w:rPr>
        <w:t>Systém EPS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V areálu nemo</w:t>
      </w:r>
      <w:r w:rsidR="00BC7AAF">
        <w:rPr>
          <w:rFonts w:eastAsiaTheme="minorHAnsi"/>
          <w:color w:val="000000"/>
          <w:szCs w:val="24"/>
          <w:lang w:eastAsia="en-US"/>
        </w:rPr>
        <w:t>cnice je stávající systémem EPS</w:t>
      </w:r>
      <w:r w:rsidR="0090254F">
        <w:rPr>
          <w:rFonts w:eastAsiaTheme="minorHAnsi"/>
          <w:color w:val="000000"/>
          <w:szCs w:val="24"/>
          <w:lang w:eastAsia="en-US"/>
        </w:rPr>
        <w:t xml:space="preserve"> s</w:t>
      </w:r>
      <w:r w:rsidR="00EA0DF1">
        <w:rPr>
          <w:rFonts w:eastAsiaTheme="minorHAnsi"/>
          <w:color w:val="000000"/>
          <w:szCs w:val="24"/>
          <w:lang w:eastAsia="en-US"/>
        </w:rPr>
        <w:t> </w:t>
      </w:r>
      <w:proofErr w:type="gramStart"/>
      <w:r w:rsidR="00EA0DF1">
        <w:rPr>
          <w:rFonts w:eastAsiaTheme="minorHAnsi"/>
          <w:color w:val="000000"/>
          <w:szCs w:val="24"/>
          <w:lang w:eastAsia="en-US"/>
        </w:rPr>
        <w:t>novou</w:t>
      </w:r>
      <w:proofErr w:type="gramEnd"/>
      <w:r w:rsidR="00EA0DF1">
        <w:rPr>
          <w:rFonts w:eastAsiaTheme="minorHAnsi"/>
          <w:color w:val="000000"/>
          <w:szCs w:val="24"/>
          <w:lang w:eastAsia="en-US"/>
        </w:rPr>
        <w:t xml:space="preserve"> </w:t>
      </w:r>
      <w:r w:rsidR="0090254F">
        <w:rPr>
          <w:rFonts w:eastAsiaTheme="minorHAnsi"/>
          <w:color w:val="000000"/>
          <w:szCs w:val="24"/>
          <w:lang w:eastAsia="en-US"/>
        </w:rPr>
        <w:t>ústřednou MHU 117</w:t>
      </w:r>
      <w:r w:rsidRPr="00B72AD4">
        <w:rPr>
          <w:rFonts w:eastAsiaTheme="minorHAnsi"/>
          <w:color w:val="000000"/>
          <w:szCs w:val="24"/>
          <w:lang w:eastAsia="en-US"/>
        </w:rPr>
        <w:t>. Tento projekt řeší EPS</w:t>
      </w:r>
      <w:r>
        <w:rPr>
          <w:rFonts w:eastAsiaTheme="minorHAnsi"/>
          <w:color w:val="000000"/>
          <w:szCs w:val="24"/>
          <w:lang w:eastAsia="en-US"/>
        </w:rPr>
        <w:t xml:space="preserve"> v </w:t>
      </w:r>
      <w:r w:rsidRPr="00B72AD4">
        <w:rPr>
          <w:rFonts w:eastAsiaTheme="minorHAnsi"/>
          <w:color w:val="000000"/>
          <w:szCs w:val="24"/>
          <w:lang w:eastAsia="en-US"/>
        </w:rPr>
        <w:t xml:space="preserve">rekonstruované části </w:t>
      </w:r>
      <w:r>
        <w:rPr>
          <w:rFonts w:eastAsiaTheme="minorHAnsi"/>
          <w:color w:val="000000"/>
          <w:szCs w:val="24"/>
          <w:lang w:eastAsia="en-US"/>
        </w:rPr>
        <w:t>interního oddělení ve 3</w:t>
      </w:r>
      <w:r w:rsidRPr="00B72AD4">
        <w:rPr>
          <w:rFonts w:eastAsiaTheme="minorHAnsi"/>
          <w:color w:val="000000"/>
          <w:szCs w:val="24"/>
          <w:lang w:eastAsia="en-US"/>
        </w:rPr>
        <w:t>.NP části „A“ v</w:t>
      </w:r>
      <w:r>
        <w:rPr>
          <w:rFonts w:eastAsiaTheme="minorHAnsi"/>
          <w:color w:val="000000"/>
          <w:szCs w:val="24"/>
          <w:lang w:eastAsia="en-US"/>
        </w:rPr>
        <w:t> </w:t>
      </w:r>
      <w:r w:rsidRPr="00B72AD4">
        <w:rPr>
          <w:rFonts w:eastAsiaTheme="minorHAnsi"/>
          <w:color w:val="000000"/>
          <w:szCs w:val="24"/>
          <w:lang w:eastAsia="en-US"/>
        </w:rPr>
        <w:t>areálu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 xml:space="preserve">nemocnice. </w:t>
      </w:r>
      <w:r>
        <w:rPr>
          <w:rFonts w:eastAsiaTheme="minorHAnsi"/>
          <w:color w:val="000000"/>
          <w:szCs w:val="24"/>
          <w:lang w:eastAsia="en-US"/>
        </w:rPr>
        <w:t xml:space="preserve">Nová část hlásičů bude napojena na stávající kruhovou linku </w:t>
      </w:r>
      <w:proofErr w:type="gramStart"/>
      <w:r>
        <w:rPr>
          <w:rFonts w:eastAsiaTheme="minorHAnsi"/>
          <w:color w:val="000000"/>
          <w:szCs w:val="24"/>
          <w:lang w:eastAsia="en-US"/>
        </w:rPr>
        <w:t>č.1</w:t>
      </w:r>
      <w:r w:rsidR="00067876">
        <w:rPr>
          <w:rFonts w:eastAsiaTheme="minorHAnsi"/>
          <w:color w:val="000000"/>
          <w:szCs w:val="24"/>
          <w:lang w:eastAsia="en-US"/>
        </w:rPr>
        <w:t>,</w:t>
      </w:r>
      <w:r w:rsidR="00511C39">
        <w:rPr>
          <w:rFonts w:eastAsiaTheme="minorHAnsi"/>
          <w:color w:val="000000"/>
          <w:szCs w:val="24"/>
          <w:lang w:eastAsia="en-US"/>
        </w:rPr>
        <w:t xml:space="preserve"> </w:t>
      </w:r>
      <w:r w:rsidR="00BC7AAF">
        <w:rPr>
          <w:rFonts w:eastAsiaTheme="minorHAnsi"/>
          <w:color w:val="000000"/>
          <w:szCs w:val="24"/>
          <w:lang w:eastAsia="en-US"/>
        </w:rPr>
        <w:t>ovládací</w:t>
      </w:r>
      <w:proofErr w:type="gramEnd"/>
      <w:r w:rsidR="00BC7AAF">
        <w:rPr>
          <w:rFonts w:eastAsiaTheme="minorHAnsi"/>
          <w:color w:val="000000"/>
          <w:szCs w:val="24"/>
          <w:lang w:eastAsia="en-US"/>
        </w:rPr>
        <w:t xml:space="preserve"> prvky budou napojeny na </w:t>
      </w:r>
      <w:r w:rsidR="004C2F30">
        <w:rPr>
          <w:rFonts w:eastAsiaTheme="minorHAnsi"/>
          <w:color w:val="000000"/>
          <w:szCs w:val="24"/>
          <w:lang w:eastAsia="en-US"/>
        </w:rPr>
        <w:t>SLAVE linku (SLAVE č.6)</w:t>
      </w:r>
      <w:r>
        <w:rPr>
          <w:rFonts w:eastAsiaTheme="minorHAnsi"/>
          <w:color w:val="000000"/>
          <w:szCs w:val="24"/>
          <w:lang w:eastAsia="en-US"/>
        </w:rPr>
        <w:t>.</w:t>
      </w:r>
      <w:r w:rsidR="00BC7AAF">
        <w:rPr>
          <w:rFonts w:eastAsiaTheme="minorHAnsi"/>
          <w:color w:val="000000"/>
          <w:szCs w:val="24"/>
          <w:lang w:eastAsia="en-US"/>
        </w:rPr>
        <w:t xml:space="preserve"> </w:t>
      </w:r>
      <w:r w:rsidR="005B75CD">
        <w:rPr>
          <w:rFonts w:eastAsiaTheme="minorHAnsi"/>
          <w:color w:val="000000"/>
          <w:szCs w:val="24"/>
          <w:lang w:eastAsia="en-US"/>
        </w:rPr>
        <w:t xml:space="preserve">Pavilon části „A1“ je již zrekonstruován a nové hlásiče se napojí na </w:t>
      </w:r>
      <w:proofErr w:type="spellStart"/>
      <w:r w:rsidR="005B75CD">
        <w:rPr>
          <w:rFonts w:eastAsiaTheme="minorHAnsi"/>
          <w:color w:val="000000"/>
          <w:szCs w:val="24"/>
          <w:lang w:eastAsia="en-US"/>
        </w:rPr>
        <w:t>hlásičov</w:t>
      </w:r>
      <w:r w:rsidR="004C2F30">
        <w:rPr>
          <w:rFonts w:eastAsiaTheme="minorHAnsi"/>
          <w:color w:val="000000"/>
          <w:szCs w:val="24"/>
          <w:lang w:eastAsia="en-US"/>
        </w:rPr>
        <w:t>ou</w:t>
      </w:r>
      <w:proofErr w:type="spellEnd"/>
      <w:r w:rsidR="005B75CD">
        <w:rPr>
          <w:rFonts w:eastAsiaTheme="minorHAnsi"/>
          <w:color w:val="000000"/>
          <w:szCs w:val="24"/>
          <w:lang w:eastAsia="en-US"/>
        </w:rPr>
        <w:t xml:space="preserve"> link</w:t>
      </w:r>
      <w:r w:rsidR="004C2F30">
        <w:rPr>
          <w:rFonts w:eastAsiaTheme="minorHAnsi"/>
          <w:color w:val="000000"/>
          <w:szCs w:val="24"/>
          <w:lang w:eastAsia="en-US"/>
        </w:rPr>
        <w:t>u</w:t>
      </w:r>
      <w:r w:rsidR="005B75CD">
        <w:rPr>
          <w:rFonts w:eastAsiaTheme="minorHAnsi"/>
          <w:color w:val="000000"/>
          <w:szCs w:val="24"/>
          <w:lang w:eastAsia="en-US"/>
        </w:rPr>
        <w:t xml:space="preserve"> z této části „A1“. Vždy prví hlásič v pavilonu A bude mít </w:t>
      </w:r>
      <w:r w:rsidR="005B75CD" w:rsidRPr="00B72AD4">
        <w:rPr>
          <w:rFonts w:eastAsiaTheme="minorHAnsi"/>
          <w:color w:val="000000"/>
          <w:szCs w:val="24"/>
          <w:lang w:eastAsia="en-US"/>
        </w:rPr>
        <w:t>vestavěné izolátory</w:t>
      </w:r>
      <w:r w:rsidR="005B75CD">
        <w:rPr>
          <w:rFonts w:eastAsiaTheme="minorHAnsi"/>
          <w:color w:val="000000"/>
          <w:szCs w:val="24"/>
          <w:lang w:eastAsia="en-US"/>
        </w:rPr>
        <w:t xml:space="preserve">. V jeho patici z důvodu správné funkce je nutno přerušit plusovou propojku. </w:t>
      </w:r>
      <w:r w:rsidR="00801B7A">
        <w:rPr>
          <w:rFonts w:eastAsiaTheme="minorHAnsi"/>
          <w:color w:val="000000"/>
          <w:szCs w:val="24"/>
          <w:lang w:eastAsia="en-US"/>
        </w:rPr>
        <w:t xml:space="preserve">V jeho patici z důvodu správné funkce je nutno přerušit plusovou propojku. </w:t>
      </w:r>
    </w:p>
    <w:p w:rsidR="00067876" w:rsidRDefault="00067876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 xml:space="preserve">Zařízení pro ovládání zámků dveří </w:t>
      </w:r>
      <w:r w:rsidR="004C2F30">
        <w:rPr>
          <w:rFonts w:eastAsiaTheme="minorHAnsi"/>
          <w:color w:val="000000"/>
          <w:szCs w:val="24"/>
          <w:lang w:eastAsia="en-US"/>
        </w:rPr>
        <w:t xml:space="preserve">a houkačky </w:t>
      </w:r>
      <w:r>
        <w:rPr>
          <w:rFonts w:eastAsiaTheme="minorHAnsi"/>
          <w:color w:val="000000"/>
          <w:szCs w:val="24"/>
          <w:lang w:eastAsia="en-US"/>
        </w:rPr>
        <w:t xml:space="preserve">se napojí na stávající </w:t>
      </w:r>
      <w:r w:rsidR="004C2F30">
        <w:rPr>
          <w:rFonts w:eastAsiaTheme="minorHAnsi"/>
          <w:color w:val="000000"/>
          <w:szCs w:val="24"/>
          <w:lang w:eastAsia="en-US"/>
        </w:rPr>
        <w:t xml:space="preserve">SLAVE linku, která v současnosti umístěna v 1.NP v mezistropu u výtahu. Nová reléová skříň MHY 925 bude napojena na tento SLAVE a bude označena SLAVE č. 6. Kabel je požárně odolný a bude veden z 1.NP v mezistropu, dále stoupačkou do 3.NP a opět v mezistropu patra až nové reléové skříni. </w:t>
      </w:r>
      <w:r>
        <w:rPr>
          <w:rFonts w:eastAsiaTheme="minorHAnsi"/>
          <w:color w:val="000000"/>
          <w:szCs w:val="24"/>
          <w:lang w:eastAsia="en-US"/>
        </w:rPr>
        <w:t>Automatické hlásiče budou napojeny na stávající kruhovou linku č. 1</w:t>
      </w:r>
      <w:r w:rsidR="00D16EC3">
        <w:rPr>
          <w:rFonts w:eastAsiaTheme="minorHAnsi"/>
          <w:color w:val="000000"/>
          <w:szCs w:val="24"/>
          <w:lang w:eastAsia="en-US"/>
        </w:rPr>
        <w:t>,</w:t>
      </w:r>
      <w:r>
        <w:rPr>
          <w:rFonts w:eastAsiaTheme="minorHAnsi"/>
          <w:color w:val="000000"/>
          <w:szCs w:val="24"/>
          <w:lang w:eastAsia="en-US"/>
        </w:rPr>
        <w:t xml:space="preserve"> kde jsou ještě volné adresy. </w:t>
      </w:r>
    </w:p>
    <w:p w:rsidR="00067876" w:rsidRDefault="00067876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5E14AD">
      <w:pPr>
        <w:pStyle w:val="Nadpis2"/>
        <w:numPr>
          <w:ilvl w:val="0"/>
          <w:numId w:val="5"/>
        </w:numPr>
        <w:ind w:hanging="720"/>
        <w:rPr>
          <w:rFonts w:eastAsiaTheme="minorHAnsi"/>
          <w:lang w:eastAsia="en-US"/>
        </w:rPr>
      </w:pPr>
      <w:r w:rsidRPr="00B72AD4">
        <w:rPr>
          <w:rFonts w:eastAsiaTheme="minorHAnsi"/>
          <w:lang w:eastAsia="en-US"/>
        </w:rPr>
        <w:t>Automatické hlásiče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Automatickými hlásiči požáru je navrženo chránit prostory s možností vzniku požáru. Typ a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krytí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hlásičů EPS jsou voleny dle charakteru prostoru a s ohledem na dané prostředí jednotlivých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="00067876">
        <w:rPr>
          <w:rFonts w:eastAsiaTheme="minorHAnsi"/>
          <w:color w:val="000000"/>
          <w:szCs w:val="24"/>
          <w:lang w:eastAsia="en-US"/>
        </w:rPr>
        <w:t>ch</w:t>
      </w:r>
      <w:r w:rsidRPr="00B72AD4">
        <w:rPr>
          <w:rFonts w:eastAsiaTheme="minorHAnsi"/>
          <w:color w:val="000000"/>
          <w:szCs w:val="24"/>
          <w:lang w:eastAsia="en-US"/>
        </w:rPr>
        <w:t>ráněných prostor.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Automatické hlásiče jsou umístěny na stropní konstrukci resp. na podhledu. Světelná indikace na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patici hlásiče bude viditelná z místa přístupu. Automatické hlásiče požáru, musí být volně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přístupné pro servisní účely. Hlásiče musí být umístěny nejméně 0,5m od vazníků, stěn nebo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vzduchotechnických zařízení. Stínění všech linkových vedení je nutno v paticích hlásičů vodivě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lastRenderedPageBreak/>
        <w:t>propojit bez uzemnění. Stínění linkového vedení smí být uzemněno pouze v jednom bodě u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ústředny.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5E14AD">
      <w:pPr>
        <w:pStyle w:val="Nadpis2"/>
        <w:numPr>
          <w:ilvl w:val="0"/>
          <w:numId w:val="5"/>
        </w:numPr>
        <w:ind w:hanging="720"/>
        <w:rPr>
          <w:rFonts w:eastAsiaTheme="minorHAnsi"/>
          <w:lang w:eastAsia="en-US"/>
        </w:rPr>
      </w:pPr>
      <w:r w:rsidRPr="00B72AD4">
        <w:rPr>
          <w:rFonts w:eastAsiaTheme="minorHAnsi"/>
          <w:lang w:eastAsia="en-US"/>
        </w:rPr>
        <w:t>Tlačítkové hlásiče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 xml:space="preserve">Tlačítkové hlásiče budou umístěny na přehledných přístupných místech ve výšce cca 1,4 m </w:t>
      </w:r>
      <w:proofErr w:type="gramStart"/>
      <w:r w:rsidRPr="00B72AD4">
        <w:rPr>
          <w:rFonts w:eastAsiaTheme="minorHAnsi"/>
          <w:color w:val="000000"/>
          <w:szCs w:val="24"/>
          <w:lang w:eastAsia="en-US"/>
        </w:rPr>
        <w:t>nad</w:t>
      </w:r>
      <w:proofErr w:type="gramEnd"/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podlahou.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5E14AD">
      <w:pPr>
        <w:pStyle w:val="Nadpis2"/>
        <w:numPr>
          <w:ilvl w:val="0"/>
          <w:numId w:val="5"/>
        </w:numPr>
        <w:ind w:hanging="720"/>
        <w:rPr>
          <w:rFonts w:eastAsiaTheme="minorHAnsi"/>
          <w:lang w:eastAsia="en-US"/>
        </w:rPr>
      </w:pPr>
      <w:r w:rsidRPr="00B72AD4">
        <w:rPr>
          <w:rFonts w:eastAsiaTheme="minorHAnsi"/>
          <w:lang w:eastAsia="en-US"/>
        </w:rPr>
        <w:t>Kabelové rozvody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 xml:space="preserve">Rozvody k hlásičům EPS jsou navrženy kabelem 1x2x0,8 bez funkční schopnosti při požáru s třídou reakce na oheň B2ca s1 d0. 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 xml:space="preserve">Rozvody EPS k ovládacím zařízením jsou navrženy kabelem 2x2x0,8 s funkční schopnosti při požáru s třídou reakce na oheň B2ca s1 d0. 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 xml:space="preserve">Kabely budou v převážné míře uloženy ve stávajících elektroinstalačních žlabech a trubkách a požárně odolné kabely na ocelové konstrukci, která zajistí stabilitu kabelového rozvodu nejméně po dobu jejich třídy požární odolnosti. 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>
        <w:rPr>
          <w:rFonts w:eastAsiaTheme="minorHAnsi"/>
          <w:color w:val="000000"/>
          <w:szCs w:val="24"/>
          <w:lang w:eastAsia="en-US"/>
        </w:rPr>
        <w:t xml:space="preserve">Provedení EPS musí odpovídat návodům pro montáž, uvedení do provozu a údržbě vydané výrobcem zařízení. Při souběhu a křižování EPS rozvodů s ostatními el. </w:t>
      </w:r>
      <w:proofErr w:type="gramStart"/>
      <w:r>
        <w:rPr>
          <w:rFonts w:eastAsiaTheme="minorHAnsi"/>
          <w:color w:val="000000"/>
          <w:szCs w:val="24"/>
          <w:lang w:eastAsia="en-US"/>
        </w:rPr>
        <w:t>instalacemi</w:t>
      </w:r>
      <w:proofErr w:type="gramEnd"/>
      <w:r>
        <w:rPr>
          <w:rFonts w:eastAsiaTheme="minorHAnsi"/>
          <w:color w:val="000000"/>
          <w:szCs w:val="24"/>
          <w:lang w:eastAsia="en-US"/>
        </w:rPr>
        <w:t xml:space="preserve"> nutno dodržet ČSN 33 2000-5-52. 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Svorkové skříně, ústředna a ocelové konstrukce musí být uzemněny na společnou uzemňovací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soustavu. Svorkové skříně budou označeny dle ČSN 34 2710 červeným nápisem "EPS".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 xml:space="preserve">Provedení el. </w:t>
      </w:r>
      <w:proofErr w:type="gramStart"/>
      <w:r w:rsidRPr="00B72AD4">
        <w:rPr>
          <w:rFonts w:eastAsiaTheme="minorHAnsi"/>
          <w:color w:val="000000"/>
          <w:szCs w:val="24"/>
          <w:lang w:eastAsia="en-US"/>
        </w:rPr>
        <w:t>instalace</w:t>
      </w:r>
      <w:proofErr w:type="gramEnd"/>
      <w:r w:rsidRPr="00B72AD4">
        <w:rPr>
          <w:rFonts w:eastAsiaTheme="minorHAnsi"/>
          <w:color w:val="000000"/>
          <w:szCs w:val="24"/>
          <w:lang w:eastAsia="en-US"/>
        </w:rPr>
        <w:t>, musí odpovídat ČSN 33 2000-4-41ed.</w:t>
      </w:r>
      <w:r w:rsidR="00777196">
        <w:rPr>
          <w:rFonts w:eastAsiaTheme="minorHAnsi"/>
          <w:color w:val="000000"/>
          <w:szCs w:val="24"/>
          <w:lang w:eastAsia="en-US"/>
        </w:rPr>
        <w:t>3</w:t>
      </w:r>
      <w:r w:rsidRPr="00B72AD4">
        <w:rPr>
          <w:rFonts w:eastAsiaTheme="minorHAnsi"/>
          <w:color w:val="000000"/>
          <w:szCs w:val="24"/>
          <w:lang w:eastAsia="en-US"/>
        </w:rPr>
        <w:t>; ČSN 33 2000-5-54. Provedení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EPS musí taktéž odpovídat návodům pro montáž, uvedení do provozu a údržbu vydané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výrobcem zařízení EPS!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POKYNY PRO MONTÁŽ, OBSLUHU A ÚDRŽBU ZAŘÍZENÍ EPS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Montáž celého systému provede odborně vyškolená firma s příslušným oprávněním. Požadavky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na POV budou oznámeny objednavateli nejpozději při převzetí stavební připravenosti.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POŽADAVKY NA UŽIVATELE A NA MONTÁŽ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Před uvedením zařízeni EPS do provozu vypracovat postup činností během požárního poplachu.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Po uvedení do provozu zajistit pravidelné zkoušky činností za provozu a revize zařízení EPS dle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ČSN 34 2710 čl. 434, 435.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Uživatel musí před uvedením do provozu určit pracovníka zodpovědného za provoz, obsluhu a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údržbu EPS. Pracovník musí být k tomuto účelu řádně vyškolen a musí vlastnit příslušné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oprávnění.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V rámci správné funkce EPS je nutno zajistit předepsané měsíční, pololetní a roční kontroly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zařízení EPS. Předepsané kontroly zařízení</w:t>
      </w:r>
      <w:r w:rsidR="00DA4198">
        <w:rPr>
          <w:rFonts w:eastAsiaTheme="minorHAnsi"/>
          <w:color w:val="000000"/>
          <w:szCs w:val="24"/>
          <w:lang w:eastAsia="en-US"/>
        </w:rPr>
        <w:t xml:space="preserve"> EPS mohou provádět pouze osoby</w:t>
      </w:r>
      <w:r w:rsidRPr="00B72AD4">
        <w:rPr>
          <w:rFonts w:eastAsiaTheme="minorHAnsi"/>
          <w:color w:val="000000"/>
          <w:szCs w:val="24"/>
          <w:lang w:eastAsia="en-US"/>
        </w:rPr>
        <w:t>, které splňují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kvalifikační předpoklady dle ČSN 34 2710 a "Dodatku k průvodní dokumentaci výrobce požárně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bezpečnostního zařízení EPS, dle vyhlášky MV ČR č. 246/2001 Sb." O provádění jakékoliv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kontroly na zařízení EPS musí být před započetím kontroly informována "Zodpovědná osoba za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provoz EPS" a obsluha EPS. Před zahájením kontroly je nutné zabránit nežádoucímu spuštění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návazného zařízení EPS, např. spuštění SHZ, vypnutí energie, požární vrata, střešní klapky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apod.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O každé kontrole musí být mimo dokladu o kontrole provozuschopnosti dle vyhlášky MV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proofErr w:type="gramStart"/>
      <w:r>
        <w:rPr>
          <w:rFonts w:eastAsiaTheme="minorHAnsi"/>
          <w:color w:val="000000"/>
          <w:szCs w:val="24"/>
          <w:lang w:eastAsia="en-US"/>
        </w:rPr>
        <w:t xml:space="preserve">ČR </w:t>
      </w:r>
      <w:r w:rsidRPr="00B72AD4">
        <w:rPr>
          <w:rFonts w:eastAsiaTheme="minorHAnsi"/>
          <w:color w:val="000000"/>
          <w:szCs w:val="24"/>
          <w:lang w:eastAsia="en-US"/>
        </w:rPr>
        <w:t>.246/2001</w:t>
      </w:r>
      <w:proofErr w:type="gramEnd"/>
      <w:r w:rsidRPr="00B72AD4">
        <w:rPr>
          <w:rFonts w:eastAsiaTheme="minorHAnsi"/>
          <w:color w:val="000000"/>
          <w:szCs w:val="24"/>
          <w:lang w:eastAsia="en-US"/>
        </w:rPr>
        <w:t xml:space="preserve"> Sb. proveden zápis v "PROVOZNÍ KNIZE EPS", která je součástí každého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systému EPS.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K údržbě a obsluze zařízení EPS musí být vypracován předpis podle příslušných norem a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předpisů. Tento předpis musí být zkoordinován s předpisem pro obsluhu zařízení EPS v průběhu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lastRenderedPageBreak/>
        <w:t>požárního poplachu. Po ukončení montáže, vykonání revize a zkoušek a po odevzdání zařízení</w:t>
      </w:r>
      <w:r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do provozu je potřebné provést zápis o zahájení provozu do provozní knihy EPS.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8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POŽADAVKY NA MONTÁŽNÍ MATERIÁL A MONTÁŽNÍ PRÁCE: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Montáž zařízení EPS může provádět pouze montážní organizace výrobce, montážní organizace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výrobcem pověřená nebo montážní organizace, která má proškolené pracovníky: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1) z vyhlášky 50/1978 Sb. zák. min. § 5</w:t>
      </w:r>
    </w:p>
    <w:p w:rsidR="00086A2C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2) prokazatelně proškolené výrobcem, nebo pověřenou organizací na montáž daného systému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3) osoby, které nebyly proškoleny, mohou provádět montáž pouze pod dohledem (formou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šéfmontáže, nebo technické pomoci pracovníkem proškoleným podle bodu 1, 2).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4) při montáži musí být dodržena vyhláška 246/2001 Sb. zák.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Zkoušky požárně bezpečnostního zařízení - EPS provádí montážní organizace, která má pro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tento účel prokazatelně proškolené montážní pracovníky nebo montážní skupina výrobce.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Účelem těchto zkoušek je prověření souladu s projektovou dokumentací a případné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zaznamenání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schválených a provedených změn oproti projektu a prověření funkce-schopnosti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namontovaného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zařízení EPS.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Funkční zkoušky požárně bezpečnostního zařízení při uvedení do provozu dle vyhlášky 46/2001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§7 odst. 1, ČSN 34 2710 čl. 410 ÷414 (dříve výchozí elektrická revize zařízení EPS). Po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ukončené montáži zařízení EPS, jeho oživení a odzkoušení funkce podle předchozího odstavce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musí být provedena výchozí elektrická revize zařízení EPS, což je nedílnou součástí montáže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zařízení EPS.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Dále musí být provedena koordinační funkční zkouška EPS.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Pokud jsou na zařízení EPS připojena doplňující a ovládaná nebo monitorovaná zařízení, musí</w:t>
      </w:r>
      <w:r w:rsidR="00086A2C">
        <w:rPr>
          <w:rFonts w:eastAsiaTheme="minorHAnsi"/>
          <w:color w:val="000000"/>
          <w:szCs w:val="24"/>
          <w:lang w:eastAsia="en-US"/>
        </w:rPr>
        <w:t xml:space="preserve"> b</w:t>
      </w:r>
      <w:r w:rsidRPr="00B72AD4">
        <w:rPr>
          <w:rFonts w:eastAsiaTheme="minorHAnsi"/>
          <w:color w:val="000000"/>
          <w:szCs w:val="24"/>
          <w:lang w:eastAsia="en-US"/>
        </w:rPr>
        <w:t>ýt po provedení dílčích funkčních zkoušek jednotlivých komponentů a jednotlivých napojených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systémů a zařízení provedena koordinační funkční zkouška celého systému (EPS včetně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navazujících zařízení). Vždy musí být učiněna taková opatření, aby zkušební signály nezpůsobily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nepředvídané události nebo škody (jako je nechtěné uvolnění hasiva objemového plynového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hasicího zařízení GHZ nebo jiného média, planý výjezd HZS, např. v případě rozšíření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stávajícího zařízení EPS včetně ZDP, vyhlášení požárního poplachu v částech, kde to není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žádoucí, např. při rekonstrukcích částí objektů apod.).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Koordinační funkční zkoušku technicky zajišťuje zkušební technik EPS (viz ČSN 34 2710) a</w:t>
      </w:r>
      <w:r w:rsidR="00086A2C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 xml:space="preserve">koordinuje ji projektant PBŘ za přítomnosti zkušebních techniků všech připojených ovládaných </w:t>
      </w:r>
      <w:r w:rsidR="00086A2C">
        <w:rPr>
          <w:rFonts w:eastAsiaTheme="minorHAnsi"/>
          <w:color w:val="000000"/>
          <w:szCs w:val="24"/>
          <w:lang w:eastAsia="en-US"/>
        </w:rPr>
        <w:t xml:space="preserve">a </w:t>
      </w:r>
      <w:r w:rsidRPr="00B72AD4">
        <w:rPr>
          <w:rFonts w:eastAsiaTheme="minorHAnsi"/>
          <w:color w:val="000000"/>
          <w:szCs w:val="24"/>
          <w:lang w:eastAsia="en-US"/>
        </w:rPr>
        <w:t>doplňujících zařízení.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8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BEZPEČNOST PRÁCE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Pracovníci určeni pro práce na elektrických zařízeních je budou provádět pouze v rozsahu,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odpovídajícímu jejich odborné způsobilosti ve smyslu vyhlášky ČÚBP a ČBÚ č.50/1978.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Při prováděcích pracích je nutno bezpodmínečně dodržovat předpisy pro práci na elektrických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zařízeních. Dále pak všechny předpisy a ustanovení týkajících se bezpečnosti práce. A to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zejména práce ve výškách, na žebřících a práce s elektrickým zařízením a nástroji.</w:t>
      </w:r>
    </w:p>
    <w:p w:rsidR="00281ADB" w:rsidRDefault="00281ADB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281ADB" w:rsidRPr="00B72AD4" w:rsidRDefault="00281ADB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PLATNOST PROJEKTU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lastRenderedPageBreak/>
        <w:t>Každá změna této projektové dokumentace plynoucí z nových požadavků odběratele, která se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vyskytne i během montáže, a která má za následek změny montážních dispozic vůči projektu,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musí být samostatně objednána.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b/>
          <w:bCs/>
          <w:color w:val="000000"/>
          <w:szCs w:val="24"/>
          <w:lang w:eastAsia="en-US"/>
        </w:rPr>
      </w:pPr>
    </w:p>
    <w:p w:rsidR="0041560A" w:rsidRPr="00B72AD4" w:rsidRDefault="0041560A" w:rsidP="00067876">
      <w:pPr>
        <w:pStyle w:val="Nadpis1"/>
        <w:numPr>
          <w:ilvl w:val="0"/>
          <w:numId w:val="4"/>
        </w:numPr>
        <w:ind w:left="567" w:hanging="567"/>
        <w:jc w:val="left"/>
        <w:rPr>
          <w:rFonts w:eastAsiaTheme="minorHAnsi"/>
        </w:rPr>
      </w:pPr>
      <w:r w:rsidRPr="00B72AD4">
        <w:rPr>
          <w:rFonts w:eastAsiaTheme="minorHAnsi"/>
        </w:rPr>
        <w:t>ZÁVĚR</w:t>
      </w:r>
    </w:p>
    <w:p w:rsidR="00BC7AAF" w:rsidRDefault="00BC7AAF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Zařízení EPS je pouze jedním z prostředků celkového protipožárního zajištění objektu.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Instalováním EPS není řešena komplexní ochrana objektu před nebezpečím vzniku požáru.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Provozovatel se tím nezbavuje odpovědnosti za veškerá jiná protipožární opatření v</w:t>
      </w:r>
      <w:r w:rsidR="00420E14">
        <w:rPr>
          <w:rFonts w:eastAsiaTheme="minorHAnsi"/>
          <w:color w:val="000000"/>
          <w:szCs w:val="24"/>
          <w:lang w:eastAsia="en-US"/>
        </w:rPr>
        <w:t> </w:t>
      </w:r>
      <w:r w:rsidRPr="00B72AD4">
        <w:rPr>
          <w:rFonts w:eastAsiaTheme="minorHAnsi"/>
          <w:color w:val="000000"/>
          <w:szCs w:val="24"/>
          <w:lang w:eastAsia="en-US"/>
        </w:rPr>
        <w:t>souladu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s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platnými předpisy.</w:t>
      </w:r>
    </w:p>
    <w:p w:rsidR="0041560A" w:rsidRPr="00B72AD4" w:rsidRDefault="0041560A" w:rsidP="0041560A">
      <w:pPr>
        <w:autoSpaceDE w:val="0"/>
        <w:autoSpaceDN w:val="0"/>
        <w:adjustRightInd w:val="0"/>
        <w:rPr>
          <w:rFonts w:eastAsiaTheme="minorHAnsi"/>
          <w:color w:val="000000"/>
          <w:szCs w:val="24"/>
          <w:lang w:eastAsia="en-US"/>
        </w:rPr>
      </w:pPr>
      <w:r w:rsidRPr="00B72AD4">
        <w:rPr>
          <w:rFonts w:eastAsiaTheme="minorHAnsi"/>
          <w:color w:val="000000"/>
          <w:szCs w:val="24"/>
          <w:lang w:eastAsia="en-US"/>
        </w:rPr>
        <w:t>Použitý materiál a provedení montáže musí odpovídat platným čs. normám a katalogům. Po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dokončení montáže a bezchybné funkčnosti, provede montážní organizace závěrečné měření,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odzkoušení a výchozí revizi vč. revizní zprávy a předávacího protokolu, proškolení obsluhy,</w:t>
      </w:r>
      <w:r w:rsidR="00420E14">
        <w:rPr>
          <w:rFonts w:eastAsiaTheme="minorHAnsi"/>
          <w:color w:val="000000"/>
          <w:szCs w:val="24"/>
          <w:lang w:eastAsia="en-US"/>
        </w:rPr>
        <w:t xml:space="preserve"> </w:t>
      </w:r>
      <w:r w:rsidRPr="00B72AD4">
        <w:rPr>
          <w:rFonts w:eastAsiaTheme="minorHAnsi"/>
          <w:color w:val="000000"/>
          <w:szCs w:val="24"/>
          <w:lang w:eastAsia="en-US"/>
        </w:rPr>
        <w:t>zaškolení a předání provozní knihy odběrateli.</w:t>
      </w:r>
    </w:p>
    <w:p w:rsidR="0041560A" w:rsidRDefault="0041560A" w:rsidP="0041560A">
      <w:pPr>
        <w:autoSpaceDE w:val="0"/>
        <w:autoSpaceDN w:val="0"/>
        <w:adjustRightInd w:val="0"/>
        <w:rPr>
          <w:rFonts w:eastAsiaTheme="minorHAnsi"/>
          <w:color w:val="000080"/>
          <w:szCs w:val="24"/>
          <w:lang w:eastAsia="en-US"/>
        </w:rPr>
      </w:pPr>
    </w:p>
    <w:p w:rsidR="00412777" w:rsidRDefault="00412777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2D7BAD" w:rsidRPr="00C4272A" w:rsidRDefault="002D7BAD" w:rsidP="002D7BAD">
      <w:pPr>
        <w:rPr>
          <w:szCs w:val="24"/>
        </w:rPr>
      </w:pPr>
    </w:p>
    <w:tbl>
      <w:tblPr>
        <w:tblW w:w="9852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346"/>
        <w:gridCol w:w="3545"/>
        <w:gridCol w:w="992"/>
        <w:gridCol w:w="992"/>
        <w:gridCol w:w="1134"/>
        <w:gridCol w:w="851"/>
        <w:gridCol w:w="992"/>
      </w:tblGrid>
      <w:tr w:rsidR="002D7BAD" w:rsidTr="002D7BAD">
        <w:tc>
          <w:tcPr>
            <w:tcW w:w="9852" w:type="dxa"/>
            <w:gridSpan w:val="7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2D7BAD" w:rsidRDefault="002D7BAD" w:rsidP="002D7BA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  <w:p w:rsidR="002D7BAD" w:rsidRDefault="002D7BAD" w:rsidP="002D7BAD">
            <w:pPr>
              <w:jc w:val="center"/>
              <w:rPr>
                <w:b/>
              </w:rPr>
            </w:pPr>
            <w:proofErr w:type="gramStart"/>
            <w:r>
              <w:rPr>
                <w:rFonts w:ascii="Arial" w:hAnsi="Arial"/>
                <w:b/>
                <w:sz w:val="32"/>
              </w:rPr>
              <w:t>VYT</w:t>
            </w:r>
            <w:r w:rsidR="000F6352">
              <w:rPr>
                <w:rFonts w:ascii="Arial" w:hAnsi="Arial"/>
                <w:b/>
                <w:sz w:val="32"/>
              </w:rPr>
              <w:t>I</w:t>
            </w:r>
            <w:r>
              <w:rPr>
                <w:rFonts w:ascii="Arial" w:hAnsi="Arial"/>
                <w:b/>
                <w:sz w:val="32"/>
              </w:rPr>
              <w:t>POVÁNÍ  PROSTORŮ</w:t>
            </w:r>
            <w:proofErr w:type="gramEnd"/>
            <w:r>
              <w:rPr>
                <w:rFonts w:ascii="Arial" w:hAnsi="Arial"/>
                <w:b/>
                <w:sz w:val="32"/>
              </w:rPr>
              <w:t xml:space="preserve">  CHRÁNĚNÝCH  EPS</w:t>
            </w:r>
          </w:p>
          <w:p w:rsid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2D7BAD" w:rsidRPr="002D7BAD" w:rsidTr="002D7BAD">
        <w:tc>
          <w:tcPr>
            <w:tcW w:w="1346" w:type="dxa"/>
            <w:tcBorders>
              <w:top w:val="nil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 xml:space="preserve"> Číslo místnosti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</w:t>
            </w:r>
            <w:proofErr w:type="gramStart"/>
            <w:r w:rsidRPr="002D7BAD">
              <w:rPr>
                <w:rFonts w:ascii="Arial" w:hAnsi="Arial"/>
                <w:b/>
                <w:sz w:val="22"/>
                <w:szCs w:val="22"/>
              </w:rPr>
              <w:t>Název  chráněného</w:t>
            </w:r>
            <w:proofErr w:type="gramEnd"/>
            <w:r w:rsidRPr="002D7BAD">
              <w:rPr>
                <w:rFonts w:ascii="Arial" w:hAnsi="Arial"/>
                <w:b/>
                <w:sz w:val="22"/>
                <w:szCs w:val="22"/>
              </w:rPr>
              <w:t xml:space="preserve"> prostoru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Počet</w:t>
            </w:r>
          </w:p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hlásičů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</w:t>
            </w:r>
            <w:r w:rsidRPr="002D7BAD">
              <w:rPr>
                <w:rFonts w:ascii="Arial" w:hAnsi="Arial"/>
                <w:b/>
                <w:sz w:val="22"/>
                <w:szCs w:val="22"/>
              </w:rPr>
              <w:t xml:space="preserve">Typ 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hlásičů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 xml:space="preserve"> Adresa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 xml:space="preserve"> hlásiče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Číslo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linky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</w:p>
          <w:p w:rsidR="002D7BAD" w:rsidRPr="002D7BAD" w:rsidRDefault="002D7BAD" w:rsidP="002D7BAD">
            <w:pPr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Číslo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b/>
                <w:sz w:val="22"/>
                <w:szCs w:val="22"/>
              </w:rPr>
            </w:pPr>
            <w:r w:rsidRPr="002D7BAD">
              <w:rPr>
                <w:rFonts w:ascii="Arial" w:hAnsi="Arial"/>
                <w:b/>
                <w:sz w:val="22"/>
                <w:szCs w:val="22"/>
              </w:rPr>
              <w:t>skupiny</w:t>
            </w: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8D5013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3</w:t>
            </w:r>
            <w:r w:rsidRPr="008D5013">
              <w:rPr>
                <w:b/>
                <w:sz w:val="22"/>
                <w:szCs w:val="22"/>
                <w:u w:val="single"/>
              </w:rPr>
              <w:t xml:space="preserve">.  </w:t>
            </w:r>
            <w:r>
              <w:rPr>
                <w:b/>
                <w:sz w:val="22"/>
                <w:szCs w:val="22"/>
                <w:u w:val="single"/>
              </w:rPr>
              <w:t>Nadzemní podlaží pavilón „A“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BD29D6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  <w:r w:rsidR="00BD29D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Vyšetřovna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4FD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BD29D6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D29D6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Čajová kuchyňka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TEP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BD29D6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  <w:r w:rsidR="00BD29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Vyšetřovna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BD29D6" w:rsidP="00BD29D6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Sesterna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38063D" w:rsidP="0038063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TEP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38063D" w:rsidP="0038063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Nadstandartní pokoj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38063D" w:rsidP="0038063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1K-077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9B5DBE" w:rsidP="009B5DBE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1K-07</w:t>
            </w:r>
            <w:r w:rsidR="0038063D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Chodba-podhled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</w:t>
            </w:r>
            <w:r w:rsidR="0038063D"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Chodba-podhled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Chodba-podhled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8063D" w:rsidRPr="00A44FD0" w:rsidTr="00956597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8063D" w:rsidRPr="00A44FD0" w:rsidTr="00956597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Chodba-podhled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063D" w:rsidRPr="00A44FD0" w:rsidRDefault="0038063D" w:rsidP="00956597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TLC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309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9B5DBE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9B5DBE" w:rsidRDefault="009B5DBE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1K-08</w:t>
            </w:r>
            <w:r w:rsidR="0038063D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307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</w:t>
            </w:r>
            <w:r w:rsidR="0038063D">
              <w:rPr>
                <w:sz w:val="22"/>
                <w:szCs w:val="22"/>
              </w:rPr>
              <w:t>89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Lůžkový pokoj</w:t>
            </w:r>
            <w:r w:rsidR="0038063D">
              <w:rPr>
                <w:sz w:val="22"/>
                <w:szCs w:val="22"/>
              </w:rPr>
              <w:t xml:space="preserve"> č. 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38063D" w:rsidP="0038063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Denní místnost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B5DBE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9B5DBE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9B5DBE" w:rsidRPr="00A44FD0" w:rsidRDefault="0038063D" w:rsidP="0038063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Vrchní sestra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9B5DBE" w:rsidRDefault="009B5DBE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B5DBE">
              <w:rPr>
                <w:sz w:val="22"/>
                <w:szCs w:val="22"/>
              </w:rPr>
              <w:t>OPT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8063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1K-09</w:t>
            </w:r>
            <w:r w:rsidR="0038063D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9B5DBE" w:rsidRPr="00A44FD0" w:rsidRDefault="009B5DBE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E0845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 u výtahu-dveřní zámek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152F9F" w:rsidP="00152F9F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 602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E0845" w:rsidRPr="00A44FD0" w:rsidTr="003E0845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8063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8063D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Chodba únik. </w:t>
            </w:r>
            <w:proofErr w:type="gramStart"/>
            <w:r>
              <w:rPr>
                <w:sz w:val="22"/>
                <w:szCs w:val="22"/>
              </w:rPr>
              <w:t>schodiště-dveřní</w:t>
            </w:r>
            <w:proofErr w:type="gramEnd"/>
            <w:r>
              <w:rPr>
                <w:sz w:val="22"/>
                <w:szCs w:val="22"/>
              </w:rPr>
              <w:t xml:space="preserve"> zámek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152F9F" w:rsidP="00BD29D6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 603</w:t>
            </w: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E0845" w:rsidRPr="00A44FD0" w:rsidRDefault="003E0845" w:rsidP="003E0845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52F9F" w:rsidRPr="00A44FD0" w:rsidTr="00D57CC2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152F9F" w:rsidRPr="00A44FD0" w:rsidRDefault="00152F9F" w:rsidP="00D57CC2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</w:t>
            </w: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152F9F" w:rsidRPr="00A44FD0" w:rsidRDefault="00152F9F" w:rsidP="00152F9F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Chodba -</w:t>
            </w:r>
            <w:r>
              <w:rPr>
                <w:sz w:val="22"/>
                <w:szCs w:val="22"/>
              </w:rPr>
              <w:t xml:space="preserve"> houkačka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152F9F" w:rsidRPr="00A44FD0" w:rsidRDefault="00152F9F" w:rsidP="00D57CC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2F9F" w:rsidRPr="00A44FD0" w:rsidRDefault="00152F9F" w:rsidP="00152F9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2F9F" w:rsidRPr="00A44FD0" w:rsidRDefault="00152F9F" w:rsidP="00152F9F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 60</w:t>
            </w:r>
            <w:r>
              <w:rPr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52F9F" w:rsidRPr="00A44FD0" w:rsidRDefault="00152F9F" w:rsidP="00D57CC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152F9F" w:rsidRPr="00A44FD0" w:rsidRDefault="00152F9F" w:rsidP="00D57CC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9F4817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9F4817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RPr="00A44FD0" w:rsidTr="002D7BAD">
        <w:trPr>
          <w:trHeight w:val="170"/>
        </w:trPr>
        <w:tc>
          <w:tcPr>
            <w:tcW w:w="1346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ind w:left="142"/>
              <w:rPr>
                <w:b/>
                <w:sz w:val="22"/>
                <w:szCs w:val="22"/>
              </w:rPr>
            </w:pPr>
          </w:p>
        </w:tc>
        <w:tc>
          <w:tcPr>
            <w:tcW w:w="35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</w:tcPr>
          <w:p w:rsidR="002D7BAD" w:rsidRPr="009F4817" w:rsidRDefault="002D7BAD" w:rsidP="002D7BAD">
            <w:pPr>
              <w:overflowPunct w:val="0"/>
              <w:autoSpaceDE w:val="0"/>
              <w:autoSpaceDN w:val="0"/>
              <w:adjustRightInd w:val="0"/>
              <w:ind w:left="7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D7BAD" w:rsidRPr="00A44FD0" w:rsidRDefault="002D7BAD" w:rsidP="002D7BAD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D7BAD" w:rsidTr="002D7BAD">
        <w:tc>
          <w:tcPr>
            <w:tcW w:w="9852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D7BAD" w:rsidRDefault="002D7BAD" w:rsidP="002D7B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OZNAČENÍ TYPU HLÁSIČŮ A ZAŘÍZENÍ</w:t>
            </w:r>
          </w:p>
        </w:tc>
      </w:tr>
      <w:tr w:rsidR="002D7BAD" w:rsidRPr="002D7BAD" w:rsidTr="002D7BAD">
        <w:trPr>
          <w:trHeight w:val="253"/>
        </w:trPr>
        <w:tc>
          <w:tcPr>
            <w:tcW w:w="985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 ION  - Ionizační hlásič požáru                                   LIN  -  Lineární hlásič požáru                          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 OPT -  Opticko kouřový hlásič požáru                        PLA  -  Hlásič plamene</w:t>
            </w:r>
          </w:p>
        </w:tc>
      </w:tr>
      <w:tr w:rsidR="002D7BAD" w:rsidRPr="002D7BAD" w:rsidTr="002D7BAD">
        <w:tc>
          <w:tcPr>
            <w:tcW w:w="985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 TEP  - Tepelný hlásič požáru                                     TLC  -  Tlačítkový hlásič</w:t>
            </w:r>
          </w:p>
          <w:p w:rsidR="002D7BAD" w:rsidRPr="002D7BAD" w:rsidRDefault="002D7BAD" w:rsidP="002D7BAD">
            <w:pPr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 TEC -  Technologický </w:t>
            </w:r>
            <w:proofErr w:type="gramStart"/>
            <w:r w:rsidRPr="002D7BAD">
              <w:rPr>
                <w:rFonts w:ascii="Arial" w:hAnsi="Arial"/>
                <w:sz w:val="22"/>
                <w:szCs w:val="22"/>
              </w:rPr>
              <w:t>hlásič                                       AJ</w:t>
            </w:r>
            <w:proofErr w:type="gramEnd"/>
            <w:r w:rsidRPr="002D7BAD">
              <w:rPr>
                <w:rFonts w:ascii="Arial" w:hAnsi="Arial"/>
                <w:sz w:val="22"/>
                <w:szCs w:val="22"/>
              </w:rPr>
              <w:t xml:space="preserve"> – Adresovací jednotka</w:t>
            </w:r>
          </w:p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2D7BAD">
              <w:rPr>
                <w:rFonts w:ascii="Arial" w:hAnsi="Arial"/>
                <w:sz w:val="22"/>
                <w:szCs w:val="22"/>
              </w:rPr>
              <w:t xml:space="preserve"> SS  -  Signální svítidlo                                              AČ  -  Akční člen / relé, houkačka/</w:t>
            </w:r>
          </w:p>
        </w:tc>
      </w:tr>
      <w:tr w:rsidR="002D7BAD" w:rsidRPr="002D7BAD" w:rsidTr="002D7BAD">
        <w:tc>
          <w:tcPr>
            <w:tcW w:w="9852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7BAD" w:rsidRPr="002D7BAD" w:rsidRDefault="002D7BAD" w:rsidP="002D7BAD">
            <w:pPr>
              <w:overflowPunct w:val="0"/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002D7BAD">
              <w:rPr>
                <w:rFonts w:ascii="Arial" w:hAnsi="Arial"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2D7BAD">
              <w:rPr>
                <w:rFonts w:ascii="Arial" w:hAnsi="Arial"/>
                <w:sz w:val="22"/>
                <w:szCs w:val="22"/>
              </w:rPr>
              <w:t>HA - Houkačka</w:t>
            </w:r>
          </w:p>
        </w:tc>
      </w:tr>
    </w:tbl>
    <w:p w:rsidR="002D7BAD" w:rsidRDefault="002D7BAD" w:rsidP="002D7BAD"/>
    <w:p w:rsidR="002D7BAD" w:rsidRDefault="002D7BAD" w:rsidP="00296C8B">
      <w:pPr>
        <w:tabs>
          <w:tab w:val="left" w:pos="7371"/>
        </w:tabs>
        <w:spacing w:after="40"/>
        <w:ind w:right="283"/>
        <w:jc w:val="center"/>
      </w:pPr>
    </w:p>
    <w:p w:rsidR="009B5DBE" w:rsidRDefault="009B5DBE" w:rsidP="00296C8B">
      <w:pPr>
        <w:tabs>
          <w:tab w:val="left" w:pos="7371"/>
        </w:tabs>
        <w:spacing w:after="40"/>
        <w:ind w:right="283"/>
        <w:jc w:val="center"/>
      </w:pPr>
    </w:p>
    <w:p w:rsidR="009B5DBE" w:rsidRDefault="009B5DBE" w:rsidP="00BD29D6">
      <w:pPr>
        <w:tabs>
          <w:tab w:val="left" w:pos="7371"/>
        </w:tabs>
        <w:spacing w:after="40"/>
        <w:ind w:right="283"/>
      </w:pPr>
    </w:p>
    <w:sectPr w:rsidR="009B5DBE" w:rsidSect="004B1D10">
      <w:footerReference w:type="even" r:id="rId9"/>
      <w:footerReference w:type="default" r:id="rId10"/>
      <w:footerReference w:type="first" r:id="rId11"/>
      <w:pgSz w:w="11907" w:h="16840"/>
      <w:pgMar w:top="1135" w:right="1417" w:bottom="851" w:left="1134" w:header="708" w:footer="455" w:gutter="0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EB1" w:rsidRDefault="00C13EB1">
      <w:r>
        <w:separator/>
      </w:r>
    </w:p>
  </w:endnote>
  <w:endnote w:type="continuationSeparator" w:id="0">
    <w:p w:rsidR="00C13EB1" w:rsidRDefault="00C1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esident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96" w:rsidRDefault="00777196" w:rsidP="00D4057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77196" w:rsidRDefault="0077719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96" w:rsidRDefault="00777196" w:rsidP="00D4057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F9F">
      <w:rPr>
        <w:rStyle w:val="slostrnky"/>
        <w:noProof/>
      </w:rPr>
      <w:t>6</w:t>
    </w:r>
    <w:r>
      <w:rPr>
        <w:rStyle w:val="slostrnky"/>
      </w:rPr>
      <w:fldChar w:fldCharType="end"/>
    </w:r>
  </w:p>
  <w:p w:rsidR="00777196" w:rsidRPr="00636C46" w:rsidRDefault="00777196" w:rsidP="00E50460">
    <w:pPr>
      <w:rPr>
        <w:b/>
        <w:bCs/>
        <w:i/>
        <w:sz w:val="22"/>
        <w:szCs w:val="22"/>
      </w:rPr>
    </w:pPr>
    <w:r>
      <w:rPr>
        <w:b/>
        <w:i/>
        <w:sz w:val="22"/>
        <w:szCs w:val="22"/>
      </w:rPr>
      <w:t xml:space="preserve"> </w:t>
    </w:r>
    <w:proofErr w:type="spellStart"/>
    <w:r>
      <w:rPr>
        <w:b/>
        <w:i/>
        <w:sz w:val="22"/>
        <w:szCs w:val="22"/>
      </w:rPr>
      <w:t>NsP</w:t>
    </w:r>
    <w:proofErr w:type="spellEnd"/>
    <w:r>
      <w:rPr>
        <w:b/>
        <w:i/>
        <w:sz w:val="22"/>
        <w:szCs w:val="22"/>
      </w:rPr>
      <w:t xml:space="preserve"> Karviná-Ráj, interna 1 a 2, </w:t>
    </w:r>
    <w:proofErr w:type="gramStart"/>
    <w:r w:rsidR="00DA4198">
      <w:rPr>
        <w:b/>
        <w:i/>
        <w:sz w:val="22"/>
        <w:szCs w:val="22"/>
      </w:rPr>
      <w:t>pavilon</w:t>
    </w:r>
    <w:r>
      <w:rPr>
        <w:b/>
        <w:i/>
        <w:sz w:val="22"/>
        <w:szCs w:val="22"/>
      </w:rPr>
      <w:t xml:space="preserve"> A</w:t>
    </w:r>
    <w:r w:rsidRPr="00C05703">
      <w:rPr>
        <w:b/>
        <w:i/>
        <w:sz w:val="22"/>
        <w:szCs w:val="22"/>
      </w:rPr>
      <w:t xml:space="preserve"> –</w:t>
    </w:r>
    <w:r>
      <w:rPr>
        <w:b/>
        <w:i/>
        <w:sz w:val="22"/>
        <w:szCs w:val="22"/>
      </w:rPr>
      <w:t>Elektrická</w:t>
    </w:r>
    <w:proofErr w:type="gramEnd"/>
    <w:r>
      <w:rPr>
        <w:b/>
        <w:i/>
        <w:sz w:val="22"/>
        <w:szCs w:val="22"/>
      </w:rPr>
      <w:t xml:space="preserve"> požární signalizace</w:t>
    </w:r>
  </w:p>
  <w:p w:rsidR="00777196" w:rsidRDefault="00777196">
    <w:pPr>
      <w:pStyle w:val="Zpat"/>
      <w:ind w:right="360"/>
      <w:rPr>
        <w:rFonts w:ascii="President" w:hAnsi="President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114292"/>
      <w:docPartObj>
        <w:docPartGallery w:val="Page Numbers (Bottom of Page)"/>
        <w:docPartUnique/>
      </w:docPartObj>
    </w:sdtPr>
    <w:sdtEndPr/>
    <w:sdtContent>
      <w:p w:rsidR="004B1D10" w:rsidRDefault="004B1D10" w:rsidP="004B1D10">
        <w:proofErr w:type="spellStart"/>
        <w:r>
          <w:rPr>
            <w:b/>
            <w:i/>
            <w:sz w:val="22"/>
            <w:szCs w:val="22"/>
          </w:rPr>
          <w:t>NsP</w:t>
        </w:r>
        <w:proofErr w:type="spellEnd"/>
        <w:r>
          <w:rPr>
            <w:b/>
            <w:i/>
            <w:sz w:val="22"/>
            <w:szCs w:val="22"/>
          </w:rPr>
          <w:t xml:space="preserve"> Karviná-Ráj, interna 1 a 2, </w:t>
        </w:r>
        <w:proofErr w:type="gramStart"/>
        <w:r>
          <w:rPr>
            <w:b/>
            <w:i/>
            <w:sz w:val="22"/>
            <w:szCs w:val="22"/>
          </w:rPr>
          <w:t>část A</w:t>
        </w:r>
        <w:r w:rsidRPr="00C05703">
          <w:rPr>
            <w:b/>
            <w:i/>
            <w:sz w:val="22"/>
            <w:szCs w:val="22"/>
          </w:rPr>
          <w:t xml:space="preserve"> –</w:t>
        </w:r>
        <w:r>
          <w:rPr>
            <w:b/>
            <w:i/>
            <w:sz w:val="22"/>
            <w:szCs w:val="22"/>
          </w:rPr>
          <w:t>Elektrická</w:t>
        </w:r>
        <w:proofErr w:type="gramEnd"/>
        <w:r>
          <w:rPr>
            <w:b/>
            <w:i/>
            <w:sz w:val="22"/>
            <w:szCs w:val="22"/>
          </w:rPr>
          <w:t xml:space="preserve"> požární signalizace</w:t>
        </w:r>
        <w:r>
          <w:rPr>
            <w:b/>
            <w:i/>
            <w:sz w:val="22"/>
            <w:szCs w:val="22"/>
          </w:rPr>
          <w:tab/>
        </w:r>
        <w:r>
          <w:rPr>
            <w:b/>
            <w:i/>
            <w:sz w:val="22"/>
            <w:szCs w:val="22"/>
          </w:rPr>
          <w:tab/>
        </w:r>
        <w:r>
          <w:rPr>
            <w:b/>
            <w:i/>
            <w:sz w:val="22"/>
            <w:szCs w:val="22"/>
          </w:rPr>
          <w:tab/>
        </w:r>
        <w:r>
          <w:rPr>
            <w:b/>
            <w:i/>
            <w:sz w:val="22"/>
            <w:szCs w:val="2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C2F30">
          <w:rPr>
            <w:noProof/>
          </w:rPr>
          <w:t>2</w:t>
        </w:r>
        <w:r>
          <w:fldChar w:fldCharType="end"/>
        </w:r>
      </w:p>
    </w:sdtContent>
  </w:sdt>
  <w:p w:rsidR="004B1D10" w:rsidRDefault="004B1D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EB1" w:rsidRDefault="00C13EB1">
      <w:r>
        <w:separator/>
      </w:r>
    </w:p>
  </w:footnote>
  <w:footnote w:type="continuationSeparator" w:id="0">
    <w:p w:rsidR="00C13EB1" w:rsidRDefault="00C13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90994"/>
    <w:multiLevelType w:val="multilevel"/>
    <w:tmpl w:val="55B09A8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0B845F3"/>
    <w:multiLevelType w:val="hybridMultilevel"/>
    <w:tmpl w:val="98987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1240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A8653A"/>
    <w:multiLevelType w:val="hybridMultilevel"/>
    <w:tmpl w:val="701440A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92EAF"/>
    <w:multiLevelType w:val="multilevel"/>
    <w:tmpl w:val="9ED62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E3"/>
    <w:rsid w:val="000007C3"/>
    <w:rsid w:val="0000267D"/>
    <w:rsid w:val="00005A82"/>
    <w:rsid w:val="0000625D"/>
    <w:rsid w:val="000064BD"/>
    <w:rsid w:val="00006FE3"/>
    <w:rsid w:val="00007A6F"/>
    <w:rsid w:val="00024FE4"/>
    <w:rsid w:val="000350E4"/>
    <w:rsid w:val="000351E6"/>
    <w:rsid w:val="00042597"/>
    <w:rsid w:val="00061D4D"/>
    <w:rsid w:val="00067876"/>
    <w:rsid w:val="0007163B"/>
    <w:rsid w:val="00084E8C"/>
    <w:rsid w:val="00086A2C"/>
    <w:rsid w:val="00093F42"/>
    <w:rsid w:val="000A2550"/>
    <w:rsid w:val="000A44FE"/>
    <w:rsid w:val="000C39AF"/>
    <w:rsid w:val="000E7322"/>
    <w:rsid w:val="000F6310"/>
    <w:rsid w:val="000F6352"/>
    <w:rsid w:val="0010079D"/>
    <w:rsid w:val="0011372B"/>
    <w:rsid w:val="00115FAD"/>
    <w:rsid w:val="00116947"/>
    <w:rsid w:val="00120B77"/>
    <w:rsid w:val="00121914"/>
    <w:rsid w:val="00130F43"/>
    <w:rsid w:val="001313F7"/>
    <w:rsid w:val="00134965"/>
    <w:rsid w:val="00134EFD"/>
    <w:rsid w:val="00137752"/>
    <w:rsid w:val="0014567F"/>
    <w:rsid w:val="00152F9F"/>
    <w:rsid w:val="00153387"/>
    <w:rsid w:val="00156CC1"/>
    <w:rsid w:val="00166E0F"/>
    <w:rsid w:val="00173364"/>
    <w:rsid w:val="00173BBA"/>
    <w:rsid w:val="0017529F"/>
    <w:rsid w:val="0018011C"/>
    <w:rsid w:val="00180441"/>
    <w:rsid w:val="00184B81"/>
    <w:rsid w:val="00196411"/>
    <w:rsid w:val="001A4547"/>
    <w:rsid w:val="001A5E95"/>
    <w:rsid w:val="001B2F9F"/>
    <w:rsid w:val="001B6562"/>
    <w:rsid w:val="001C2177"/>
    <w:rsid w:val="001D34FD"/>
    <w:rsid w:val="001D7C93"/>
    <w:rsid w:val="001E6E01"/>
    <w:rsid w:val="001F5057"/>
    <w:rsid w:val="001F52AB"/>
    <w:rsid w:val="00210891"/>
    <w:rsid w:val="00214D54"/>
    <w:rsid w:val="00226814"/>
    <w:rsid w:val="00231D27"/>
    <w:rsid w:val="00244888"/>
    <w:rsid w:val="00253B48"/>
    <w:rsid w:val="00255D39"/>
    <w:rsid w:val="002567B0"/>
    <w:rsid w:val="002626B4"/>
    <w:rsid w:val="002728D2"/>
    <w:rsid w:val="00281ADB"/>
    <w:rsid w:val="00282537"/>
    <w:rsid w:val="00285CCC"/>
    <w:rsid w:val="00290CBB"/>
    <w:rsid w:val="002958D6"/>
    <w:rsid w:val="00296C8B"/>
    <w:rsid w:val="002A34D1"/>
    <w:rsid w:val="002B4561"/>
    <w:rsid w:val="002B6305"/>
    <w:rsid w:val="002C562A"/>
    <w:rsid w:val="002D6329"/>
    <w:rsid w:val="002D7BAD"/>
    <w:rsid w:val="002E223F"/>
    <w:rsid w:val="0030273F"/>
    <w:rsid w:val="00302AF0"/>
    <w:rsid w:val="00305EFD"/>
    <w:rsid w:val="00307043"/>
    <w:rsid w:val="00325D5B"/>
    <w:rsid w:val="00327968"/>
    <w:rsid w:val="003325CF"/>
    <w:rsid w:val="003410A1"/>
    <w:rsid w:val="003516EB"/>
    <w:rsid w:val="00360354"/>
    <w:rsid w:val="00360CDC"/>
    <w:rsid w:val="003657F0"/>
    <w:rsid w:val="00366C67"/>
    <w:rsid w:val="00372318"/>
    <w:rsid w:val="0037489B"/>
    <w:rsid w:val="00375386"/>
    <w:rsid w:val="00375A23"/>
    <w:rsid w:val="00377063"/>
    <w:rsid w:val="0038063D"/>
    <w:rsid w:val="00380A0F"/>
    <w:rsid w:val="0038164A"/>
    <w:rsid w:val="00390FDF"/>
    <w:rsid w:val="003A37C8"/>
    <w:rsid w:val="003A4C64"/>
    <w:rsid w:val="003A583B"/>
    <w:rsid w:val="003B5CD2"/>
    <w:rsid w:val="003B6425"/>
    <w:rsid w:val="003D1F03"/>
    <w:rsid w:val="003D7CB9"/>
    <w:rsid w:val="003E0845"/>
    <w:rsid w:val="003E16D7"/>
    <w:rsid w:val="003E44EF"/>
    <w:rsid w:val="003E4A6B"/>
    <w:rsid w:val="003F25C4"/>
    <w:rsid w:val="003F329C"/>
    <w:rsid w:val="003F41A3"/>
    <w:rsid w:val="003F4458"/>
    <w:rsid w:val="003F46D2"/>
    <w:rsid w:val="00401F91"/>
    <w:rsid w:val="00402CF8"/>
    <w:rsid w:val="00410F7B"/>
    <w:rsid w:val="0041157E"/>
    <w:rsid w:val="00412777"/>
    <w:rsid w:val="0041529D"/>
    <w:rsid w:val="0041560A"/>
    <w:rsid w:val="00420E14"/>
    <w:rsid w:val="004216FA"/>
    <w:rsid w:val="00422CE0"/>
    <w:rsid w:val="004240D4"/>
    <w:rsid w:val="0042792C"/>
    <w:rsid w:val="00443270"/>
    <w:rsid w:val="0044365E"/>
    <w:rsid w:val="004503A5"/>
    <w:rsid w:val="004518D2"/>
    <w:rsid w:val="00465DE1"/>
    <w:rsid w:val="00477A50"/>
    <w:rsid w:val="0048036E"/>
    <w:rsid w:val="00484128"/>
    <w:rsid w:val="00492DFE"/>
    <w:rsid w:val="004A223D"/>
    <w:rsid w:val="004B1D10"/>
    <w:rsid w:val="004B58E0"/>
    <w:rsid w:val="004B69B9"/>
    <w:rsid w:val="004B7FC3"/>
    <w:rsid w:val="004C2F30"/>
    <w:rsid w:val="004D3141"/>
    <w:rsid w:val="004F139A"/>
    <w:rsid w:val="004F3FE4"/>
    <w:rsid w:val="004F5C8B"/>
    <w:rsid w:val="0050364E"/>
    <w:rsid w:val="005046B3"/>
    <w:rsid w:val="00511C39"/>
    <w:rsid w:val="00513F38"/>
    <w:rsid w:val="00515F3C"/>
    <w:rsid w:val="00516B02"/>
    <w:rsid w:val="0052144E"/>
    <w:rsid w:val="005367BA"/>
    <w:rsid w:val="00540BC4"/>
    <w:rsid w:val="00545905"/>
    <w:rsid w:val="00551B7E"/>
    <w:rsid w:val="00555C6F"/>
    <w:rsid w:val="0056357C"/>
    <w:rsid w:val="005676F6"/>
    <w:rsid w:val="0059668E"/>
    <w:rsid w:val="005A57A0"/>
    <w:rsid w:val="005A731C"/>
    <w:rsid w:val="005B75CD"/>
    <w:rsid w:val="005C6DBD"/>
    <w:rsid w:val="005D44C1"/>
    <w:rsid w:val="005D55C0"/>
    <w:rsid w:val="005E14AD"/>
    <w:rsid w:val="005E2A87"/>
    <w:rsid w:val="005E51D5"/>
    <w:rsid w:val="005E58D7"/>
    <w:rsid w:val="005F165E"/>
    <w:rsid w:val="005F511C"/>
    <w:rsid w:val="006005F6"/>
    <w:rsid w:val="00603D9B"/>
    <w:rsid w:val="006066F9"/>
    <w:rsid w:val="0061003D"/>
    <w:rsid w:val="00610A93"/>
    <w:rsid w:val="0061418E"/>
    <w:rsid w:val="00630270"/>
    <w:rsid w:val="00632433"/>
    <w:rsid w:val="0063586B"/>
    <w:rsid w:val="0064166D"/>
    <w:rsid w:val="00641EC4"/>
    <w:rsid w:val="00650E8F"/>
    <w:rsid w:val="0065342D"/>
    <w:rsid w:val="006565F0"/>
    <w:rsid w:val="006653F1"/>
    <w:rsid w:val="00667D63"/>
    <w:rsid w:val="00671C59"/>
    <w:rsid w:val="00671FDF"/>
    <w:rsid w:val="00675AFF"/>
    <w:rsid w:val="00677465"/>
    <w:rsid w:val="00680355"/>
    <w:rsid w:val="00681C86"/>
    <w:rsid w:val="006820BE"/>
    <w:rsid w:val="00684014"/>
    <w:rsid w:val="00687BDA"/>
    <w:rsid w:val="00687DE0"/>
    <w:rsid w:val="006952AB"/>
    <w:rsid w:val="00696E64"/>
    <w:rsid w:val="006A05C5"/>
    <w:rsid w:val="006A59A6"/>
    <w:rsid w:val="006B3B9B"/>
    <w:rsid w:val="006D59E1"/>
    <w:rsid w:val="006D6488"/>
    <w:rsid w:val="006E1CCB"/>
    <w:rsid w:val="006E2982"/>
    <w:rsid w:val="00706DFB"/>
    <w:rsid w:val="00721FAE"/>
    <w:rsid w:val="00722962"/>
    <w:rsid w:val="00725055"/>
    <w:rsid w:val="007275F9"/>
    <w:rsid w:val="007459AD"/>
    <w:rsid w:val="00756C4E"/>
    <w:rsid w:val="00756D28"/>
    <w:rsid w:val="00757C12"/>
    <w:rsid w:val="0076109B"/>
    <w:rsid w:val="00766B5C"/>
    <w:rsid w:val="00771C46"/>
    <w:rsid w:val="007762EB"/>
    <w:rsid w:val="00776624"/>
    <w:rsid w:val="00777196"/>
    <w:rsid w:val="007836CA"/>
    <w:rsid w:val="00791066"/>
    <w:rsid w:val="00791F43"/>
    <w:rsid w:val="00797A38"/>
    <w:rsid w:val="007A3662"/>
    <w:rsid w:val="007A3D13"/>
    <w:rsid w:val="007A4518"/>
    <w:rsid w:val="007B4202"/>
    <w:rsid w:val="007B5382"/>
    <w:rsid w:val="007D4329"/>
    <w:rsid w:val="007D7C6C"/>
    <w:rsid w:val="007E148B"/>
    <w:rsid w:val="007E61D6"/>
    <w:rsid w:val="007F0B03"/>
    <w:rsid w:val="007F3FB4"/>
    <w:rsid w:val="007F5745"/>
    <w:rsid w:val="00801B7A"/>
    <w:rsid w:val="0080486A"/>
    <w:rsid w:val="00810E44"/>
    <w:rsid w:val="00835816"/>
    <w:rsid w:val="0084083D"/>
    <w:rsid w:val="008437AB"/>
    <w:rsid w:val="00844A26"/>
    <w:rsid w:val="00845E5E"/>
    <w:rsid w:val="008507A2"/>
    <w:rsid w:val="008531F8"/>
    <w:rsid w:val="00861079"/>
    <w:rsid w:val="00864855"/>
    <w:rsid w:val="008658DA"/>
    <w:rsid w:val="00867D0F"/>
    <w:rsid w:val="00872F3A"/>
    <w:rsid w:val="00873136"/>
    <w:rsid w:val="008829CE"/>
    <w:rsid w:val="00895CEC"/>
    <w:rsid w:val="00897DEF"/>
    <w:rsid w:val="008A11A4"/>
    <w:rsid w:val="008A161B"/>
    <w:rsid w:val="008A56B0"/>
    <w:rsid w:val="008B0AD8"/>
    <w:rsid w:val="008B2023"/>
    <w:rsid w:val="008B4E96"/>
    <w:rsid w:val="008C006F"/>
    <w:rsid w:val="008C2E70"/>
    <w:rsid w:val="008C4CED"/>
    <w:rsid w:val="008D0D18"/>
    <w:rsid w:val="008D228C"/>
    <w:rsid w:val="008D65D4"/>
    <w:rsid w:val="008D7CCA"/>
    <w:rsid w:val="008F4887"/>
    <w:rsid w:val="00901649"/>
    <w:rsid w:val="0090254F"/>
    <w:rsid w:val="009025D6"/>
    <w:rsid w:val="00902FCB"/>
    <w:rsid w:val="009161DD"/>
    <w:rsid w:val="0091709E"/>
    <w:rsid w:val="0092046A"/>
    <w:rsid w:val="0092259D"/>
    <w:rsid w:val="00930061"/>
    <w:rsid w:val="0093113C"/>
    <w:rsid w:val="00931360"/>
    <w:rsid w:val="00932239"/>
    <w:rsid w:val="00955418"/>
    <w:rsid w:val="00956566"/>
    <w:rsid w:val="00963DE7"/>
    <w:rsid w:val="009776A6"/>
    <w:rsid w:val="009800ED"/>
    <w:rsid w:val="00983CFC"/>
    <w:rsid w:val="00993783"/>
    <w:rsid w:val="009A57B0"/>
    <w:rsid w:val="009B5DBE"/>
    <w:rsid w:val="009B6FE3"/>
    <w:rsid w:val="009C05DC"/>
    <w:rsid w:val="009C622A"/>
    <w:rsid w:val="009C7064"/>
    <w:rsid w:val="009D3664"/>
    <w:rsid w:val="009D51F5"/>
    <w:rsid w:val="009E3345"/>
    <w:rsid w:val="009F16D8"/>
    <w:rsid w:val="009F427C"/>
    <w:rsid w:val="009F4337"/>
    <w:rsid w:val="009F79CF"/>
    <w:rsid w:val="00A013D0"/>
    <w:rsid w:val="00A1727A"/>
    <w:rsid w:val="00A23A9C"/>
    <w:rsid w:val="00A308E4"/>
    <w:rsid w:val="00A372B3"/>
    <w:rsid w:val="00A436FE"/>
    <w:rsid w:val="00A63DCA"/>
    <w:rsid w:val="00A63E4D"/>
    <w:rsid w:val="00A66028"/>
    <w:rsid w:val="00A7057A"/>
    <w:rsid w:val="00A96AEF"/>
    <w:rsid w:val="00AD41B6"/>
    <w:rsid w:val="00AE2288"/>
    <w:rsid w:val="00AE5F19"/>
    <w:rsid w:val="00AE7FDE"/>
    <w:rsid w:val="00B0683F"/>
    <w:rsid w:val="00B1773C"/>
    <w:rsid w:val="00B22608"/>
    <w:rsid w:val="00B3093D"/>
    <w:rsid w:val="00B31BE8"/>
    <w:rsid w:val="00B4543A"/>
    <w:rsid w:val="00B5065D"/>
    <w:rsid w:val="00B60F80"/>
    <w:rsid w:val="00B71543"/>
    <w:rsid w:val="00B7187D"/>
    <w:rsid w:val="00B9045E"/>
    <w:rsid w:val="00B906ED"/>
    <w:rsid w:val="00B9253D"/>
    <w:rsid w:val="00B946E8"/>
    <w:rsid w:val="00BA41EB"/>
    <w:rsid w:val="00BA44C7"/>
    <w:rsid w:val="00BA49F7"/>
    <w:rsid w:val="00BA4B0B"/>
    <w:rsid w:val="00BA54FC"/>
    <w:rsid w:val="00BA7891"/>
    <w:rsid w:val="00BB2590"/>
    <w:rsid w:val="00BC525D"/>
    <w:rsid w:val="00BC7AAF"/>
    <w:rsid w:val="00BD1270"/>
    <w:rsid w:val="00BD29D6"/>
    <w:rsid w:val="00BD5944"/>
    <w:rsid w:val="00BE2A04"/>
    <w:rsid w:val="00BE5E83"/>
    <w:rsid w:val="00BF08FC"/>
    <w:rsid w:val="00BF2EF7"/>
    <w:rsid w:val="00C0050F"/>
    <w:rsid w:val="00C03748"/>
    <w:rsid w:val="00C136DA"/>
    <w:rsid w:val="00C13EB1"/>
    <w:rsid w:val="00C17735"/>
    <w:rsid w:val="00C2360E"/>
    <w:rsid w:val="00C33039"/>
    <w:rsid w:val="00C33FC1"/>
    <w:rsid w:val="00C3567C"/>
    <w:rsid w:val="00C36F8F"/>
    <w:rsid w:val="00C42186"/>
    <w:rsid w:val="00C42BC4"/>
    <w:rsid w:val="00C46D8B"/>
    <w:rsid w:val="00C5113A"/>
    <w:rsid w:val="00C54738"/>
    <w:rsid w:val="00C648AE"/>
    <w:rsid w:val="00C655CE"/>
    <w:rsid w:val="00C70A74"/>
    <w:rsid w:val="00C85565"/>
    <w:rsid w:val="00C95452"/>
    <w:rsid w:val="00CA6EF8"/>
    <w:rsid w:val="00CB5834"/>
    <w:rsid w:val="00CC7BDB"/>
    <w:rsid w:val="00CD0B81"/>
    <w:rsid w:val="00CD5770"/>
    <w:rsid w:val="00CD6641"/>
    <w:rsid w:val="00CE4BB8"/>
    <w:rsid w:val="00CF489B"/>
    <w:rsid w:val="00D03DA1"/>
    <w:rsid w:val="00D050FD"/>
    <w:rsid w:val="00D06942"/>
    <w:rsid w:val="00D1562E"/>
    <w:rsid w:val="00D16EC3"/>
    <w:rsid w:val="00D21A0B"/>
    <w:rsid w:val="00D2525B"/>
    <w:rsid w:val="00D34C28"/>
    <w:rsid w:val="00D4057F"/>
    <w:rsid w:val="00D40E7E"/>
    <w:rsid w:val="00D61AFC"/>
    <w:rsid w:val="00D809BA"/>
    <w:rsid w:val="00D81C58"/>
    <w:rsid w:val="00D84864"/>
    <w:rsid w:val="00D9017B"/>
    <w:rsid w:val="00D94041"/>
    <w:rsid w:val="00DA2C94"/>
    <w:rsid w:val="00DA3EB8"/>
    <w:rsid w:val="00DA4198"/>
    <w:rsid w:val="00DB29CF"/>
    <w:rsid w:val="00DE1108"/>
    <w:rsid w:val="00DE149E"/>
    <w:rsid w:val="00DE3401"/>
    <w:rsid w:val="00DE4EFC"/>
    <w:rsid w:val="00DF458C"/>
    <w:rsid w:val="00DF7FBA"/>
    <w:rsid w:val="00E00FFA"/>
    <w:rsid w:val="00E04425"/>
    <w:rsid w:val="00E10056"/>
    <w:rsid w:val="00E15AC6"/>
    <w:rsid w:val="00E15F7C"/>
    <w:rsid w:val="00E21E9C"/>
    <w:rsid w:val="00E22AFF"/>
    <w:rsid w:val="00E30744"/>
    <w:rsid w:val="00E34FF7"/>
    <w:rsid w:val="00E35A8A"/>
    <w:rsid w:val="00E40690"/>
    <w:rsid w:val="00E44864"/>
    <w:rsid w:val="00E4544A"/>
    <w:rsid w:val="00E50460"/>
    <w:rsid w:val="00E5046A"/>
    <w:rsid w:val="00E56110"/>
    <w:rsid w:val="00E57130"/>
    <w:rsid w:val="00E61766"/>
    <w:rsid w:val="00E6205D"/>
    <w:rsid w:val="00E64BB1"/>
    <w:rsid w:val="00E713AC"/>
    <w:rsid w:val="00E73FAF"/>
    <w:rsid w:val="00E76E53"/>
    <w:rsid w:val="00E84084"/>
    <w:rsid w:val="00E911BF"/>
    <w:rsid w:val="00E93363"/>
    <w:rsid w:val="00E94BB5"/>
    <w:rsid w:val="00E97EBB"/>
    <w:rsid w:val="00EA0DF1"/>
    <w:rsid w:val="00EB14CF"/>
    <w:rsid w:val="00EB2943"/>
    <w:rsid w:val="00EC6AFB"/>
    <w:rsid w:val="00EC7B7D"/>
    <w:rsid w:val="00ED7EF4"/>
    <w:rsid w:val="00EE113D"/>
    <w:rsid w:val="00EE292D"/>
    <w:rsid w:val="00EE51AD"/>
    <w:rsid w:val="00EE68E0"/>
    <w:rsid w:val="00EF1349"/>
    <w:rsid w:val="00F0044E"/>
    <w:rsid w:val="00F00840"/>
    <w:rsid w:val="00F15867"/>
    <w:rsid w:val="00F17A14"/>
    <w:rsid w:val="00F27162"/>
    <w:rsid w:val="00F34E62"/>
    <w:rsid w:val="00F350D2"/>
    <w:rsid w:val="00F353C4"/>
    <w:rsid w:val="00F40318"/>
    <w:rsid w:val="00F534AF"/>
    <w:rsid w:val="00F562E0"/>
    <w:rsid w:val="00F572FE"/>
    <w:rsid w:val="00F5738C"/>
    <w:rsid w:val="00F701EB"/>
    <w:rsid w:val="00F72632"/>
    <w:rsid w:val="00F82057"/>
    <w:rsid w:val="00F83795"/>
    <w:rsid w:val="00F8732B"/>
    <w:rsid w:val="00F956C0"/>
    <w:rsid w:val="00FB201C"/>
    <w:rsid w:val="00FB7C3D"/>
    <w:rsid w:val="00FD1C4D"/>
    <w:rsid w:val="00FD6138"/>
    <w:rsid w:val="00FE489F"/>
    <w:rsid w:val="00FF2E7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1F91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ind w:left="72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pPr>
      <w:keepNext/>
      <w:ind w:left="72"/>
      <w:outlineLvl w:val="4"/>
    </w:pPr>
    <w:rPr>
      <w:b/>
      <w:bCs/>
      <w:u w:val="single"/>
      <w:lang w:val="x-none" w:eastAsia="x-non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pPr>
      <w:keepNext/>
      <w:ind w:left="1416" w:firstLine="708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ind w:left="-97"/>
      <w:textAlignment w:val="baseline"/>
      <w:outlineLvl w:val="7"/>
    </w:pPr>
    <w:rPr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jc w:val="center"/>
      <w:outlineLvl w:val="8"/>
    </w:pPr>
    <w:rPr>
      <w:rFonts w:ascii="Arial" w:hAnsi="Arial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Pr>
      <w:noProof/>
      <w:lang w:val="x-none" w:eastAsia="x-none"/>
    </w:rPr>
  </w:style>
  <w:style w:type="paragraph" w:customStyle="1" w:styleId="Nadpis">
    <w:name w:val="Nadpis"/>
    <w:basedOn w:val="Normln"/>
    <w:rPr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</w:style>
  <w:style w:type="paragraph" w:styleId="Zkladntext2">
    <w:name w:val="Body Text 2"/>
    <w:basedOn w:val="Normln"/>
    <w:link w:val="Zkladntext2Char"/>
    <w:rsid w:val="00401F91"/>
    <w:pPr>
      <w:widowControl w:val="0"/>
      <w:spacing w:after="240"/>
    </w:pPr>
    <w:rPr>
      <w:snapToGrid w:val="0"/>
      <w:lang w:val="x-none" w:eastAsia="x-none"/>
    </w:rPr>
  </w:style>
  <w:style w:type="paragraph" w:styleId="Zkladntext3">
    <w:name w:val="Body Text 3"/>
    <w:basedOn w:val="Normln"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Zkladntext21">
    <w:name w:val="Základní text 21"/>
    <w:basedOn w:val="Normln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0" w:color="auto" w:fill="auto"/>
      <w:tabs>
        <w:tab w:val="left" w:pos="1701"/>
        <w:tab w:val="left" w:pos="1985"/>
      </w:tabs>
      <w:overflowPunct w:val="0"/>
      <w:autoSpaceDE w:val="0"/>
      <w:autoSpaceDN w:val="0"/>
      <w:adjustRightInd w:val="0"/>
    </w:pPr>
    <w:rPr>
      <w:rFonts w:ascii="Arial" w:hAnsi="Arial"/>
      <w:i/>
      <w:sz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Nadpis9Char">
    <w:name w:val="Nadpis 9 Char"/>
    <w:link w:val="Nadpis9"/>
    <w:rsid w:val="004B58E0"/>
    <w:rPr>
      <w:rFonts w:ascii="Arial" w:hAnsi="Arial"/>
      <w:b/>
      <w:bCs/>
      <w:sz w:val="24"/>
    </w:rPr>
  </w:style>
  <w:style w:type="character" w:customStyle="1" w:styleId="Zkladntext2Char">
    <w:name w:val="Základní text 2 Char"/>
    <w:link w:val="Zkladntext2"/>
    <w:rsid w:val="00401F91"/>
    <w:rPr>
      <w:snapToGrid w:val="0"/>
      <w:sz w:val="24"/>
      <w:lang w:val="x-none" w:eastAsia="x-none"/>
    </w:rPr>
  </w:style>
  <w:style w:type="character" w:customStyle="1" w:styleId="Nadpis5Char">
    <w:name w:val="Nadpis 5 Char"/>
    <w:link w:val="Nadpis5"/>
    <w:rsid w:val="00FD6138"/>
    <w:rPr>
      <w:b/>
      <w:bCs/>
      <w:sz w:val="24"/>
      <w:u w:val="single"/>
    </w:rPr>
  </w:style>
  <w:style w:type="paragraph" w:customStyle="1" w:styleId="Podnadpis">
    <w:name w:val="Podnadpis"/>
    <w:rsid w:val="00FD6138"/>
    <w:pPr>
      <w:widowControl w:val="0"/>
      <w:snapToGrid w:val="0"/>
    </w:pPr>
    <w:rPr>
      <w:b/>
      <w:i/>
      <w:color w:val="000000"/>
      <w:sz w:val="24"/>
    </w:rPr>
  </w:style>
  <w:style w:type="paragraph" w:customStyle="1" w:styleId="Styl1">
    <w:name w:val="Styl1"/>
    <w:basedOn w:val="Nadpis3"/>
    <w:rsid w:val="00FD6138"/>
    <w:pPr>
      <w:tabs>
        <w:tab w:val="left" w:pos="851"/>
        <w:tab w:val="left" w:pos="1418"/>
        <w:tab w:val="left" w:pos="2552"/>
        <w:tab w:val="left" w:pos="8789"/>
        <w:tab w:val="left" w:pos="8902"/>
      </w:tabs>
      <w:spacing w:line="300" w:lineRule="atLeast"/>
      <w:jc w:val="center"/>
    </w:pPr>
    <w:rPr>
      <w:b w:val="0"/>
      <w:bCs w:val="0"/>
      <w:szCs w:val="24"/>
    </w:rPr>
  </w:style>
  <w:style w:type="character" w:customStyle="1" w:styleId="ZkladntextChar">
    <w:name w:val="Základní text Char"/>
    <w:link w:val="Zkladntext"/>
    <w:locked/>
    <w:rsid w:val="00A23A9C"/>
    <w:rPr>
      <w:noProof/>
      <w:sz w:val="24"/>
    </w:rPr>
  </w:style>
  <w:style w:type="character" w:customStyle="1" w:styleId="ZhlavChar">
    <w:name w:val="Záhlaví Char"/>
    <w:link w:val="Zhlav"/>
    <w:rsid w:val="009A57B0"/>
    <w:rPr>
      <w:sz w:val="24"/>
    </w:rPr>
  </w:style>
  <w:style w:type="paragraph" w:customStyle="1" w:styleId="dokument">
    <w:name w:val="dokument"/>
    <w:basedOn w:val="Normln"/>
    <w:rsid w:val="00E44864"/>
    <w:rPr>
      <w:b/>
    </w:rPr>
  </w:style>
  <w:style w:type="paragraph" w:styleId="Zkladntextodsazen2">
    <w:name w:val="Body Text Indent 2"/>
    <w:basedOn w:val="Normln"/>
    <w:link w:val="Zkladntextodsazen2Char"/>
    <w:rsid w:val="005F511C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5F511C"/>
    <w:rPr>
      <w:sz w:val="24"/>
    </w:rPr>
  </w:style>
  <w:style w:type="paragraph" w:styleId="Textvbloku">
    <w:name w:val="Block Text"/>
    <w:basedOn w:val="Normln"/>
    <w:rsid w:val="005F511C"/>
    <w:pPr>
      <w:ind w:left="567" w:right="992" w:hanging="567"/>
    </w:pPr>
  </w:style>
  <w:style w:type="character" w:customStyle="1" w:styleId="Nadpis1Char">
    <w:name w:val="Nadpis 1 Char"/>
    <w:link w:val="Nadpis1"/>
    <w:rsid w:val="005046B3"/>
    <w:rPr>
      <w:b/>
      <w:sz w:val="28"/>
    </w:rPr>
  </w:style>
  <w:style w:type="paragraph" w:styleId="Bezmezer">
    <w:name w:val="No Spacing"/>
    <w:uiPriority w:val="1"/>
    <w:qFormat/>
    <w:rsid w:val="004156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1D1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1F91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ind w:left="72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pPr>
      <w:keepNext/>
      <w:ind w:left="72"/>
      <w:outlineLvl w:val="4"/>
    </w:pPr>
    <w:rPr>
      <w:b/>
      <w:bCs/>
      <w:u w:val="single"/>
      <w:lang w:val="x-none" w:eastAsia="x-non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u w:val="single"/>
    </w:rPr>
  </w:style>
  <w:style w:type="paragraph" w:styleId="Nadpis7">
    <w:name w:val="heading 7"/>
    <w:basedOn w:val="Normln"/>
    <w:next w:val="Normln"/>
    <w:qFormat/>
    <w:pPr>
      <w:keepNext/>
      <w:ind w:left="1416" w:firstLine="708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ind w:left="-97"/>
      <w:textAlignment w:val="baseline"/>
      <w:outlineLvl w:val="7"/>
    </w:pPr>
    <w:rPr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jc w:val="center"/>
      <w:outlineLvl w:val="8"/>
    </w:pPr>
    <w:rPr>
      <w:rFonts w:ascii="Arial" w:hAnsi="Arial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Pr>
      <w:noProof/>
      <w:lang w:val="x-none" w:eastAsia="x-none"/>
    </w:rPr>
  </w:style>
  <w:style w:type="paragraph" w:customStyle="1" w:styleId="Nadpis">
    <w:name w:val="Nadpis"/>
    <w:basedOn w:val="Normln"/>
    <w:rPr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</w:style>
  <w:style w:type="paragraph" w:styleId="Zkladntext2">
    <w:name w:val="Body Text 2"/>
    <w:basedOn w:val="Normln"/>
    <w:link w:val="Zkladntext2Char"/>
    <w:rsid w:val="00401F91"/>
    <w:pPr>
      <w:widowControl w:val="0"/>
      <w:spacing w:after="240"/>
    </w:pPr>
    <w:rPr>
      <w:snapToGrid w:val="0"/>
      <w:lang w:val="x-none" w:eastAsia="x-none"/>
    </w:rPr>
  </w:style>
  <w:style w:type="paragraph" w:styleId="Zkladntext3">
    <w:name w:val="Body Text 3"/>
    <w:basedOn w:val="Normln"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Zkladntext21">
    <w:name w:val="Základní text 21"/>
    <w:basedOn w:val="Normln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0" w:color="auto" w:fill="auto"/>
      <w:tabs>
        <w:tab w:val="left" w:pos="1701"/>
        <w:tab w:val="left" w:pos="1985"/>
      </w:tabs>
      <w:overflowPunct w:val="0"/>
      <w:autoSpaceDE w:val="0"/>
      <w:autoSpaceDN w:val="0"/>
      <w:adjustRightInd w:val="0"/>
    </w:pPr>
    <w:rPr>
      <w:rFonts w:ascii="Arial" w:hAnsi="Arial"/>
      <w:i/>
      <w:sz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Nadpis9Char">
    <w:name w:val="Nadpis 9 Char"/>
    <w:link w:val="Nadpis9"/>
    <w:rsid w:val="004B58E0"/>
    <w:rPr>
      <w:rFonts w:ascii="Arial" w:hAnsi="Arial"/>
      <w:b/>
      <w:bCs/>
      <w:sz w:val="24"/>
    </w:rPr>
  </w:style>
  <w:style w:type="character" w:customStyle="1" w:styleId="Zkladntext2Char">
    <w:name w:val="Základní text 2 Char"/>
    <w:link w:val="Zkladntext2"/>
    <w:rsid w:val="00401F91"/>
    <w:rPr>
      <w:snapToGrid w:val="0"/>
      <w:sz w:val="24"/>
      <w:lang w:val="x-none" w:eastAsia="x-none"/>
    </w:rPr>
  </w:style>
  <w:style w:type="character" w:customStyle="1" w:styleId="Nadpis5Char">
    <w:name w:val="Nadpis 5 Char"/>
    <w:link w:val="Nadpis5"/>
    <w:rsid w:val="00FD6138"/>
    <w:rPr>
      <w:b/>
      <w:bCs/>
      <w:sz w:val="24"/>
      <w:u w:val="single"/>
    </w:rPr>
  </w:style>
  <w:style w:type="paragraph" w:customStyle="1" w:styleId="Podnadpis">
    <w:name w:val="Podnadpis"/>
    <w:rsid w:val="00FD6138"/>
    <w:pPr>
      <w:widowControl w:val="0"/>
      <w:snapToGrid w:val="0"/>
    </w:pPr>
    <w:rPr>
      <w:b/>
      <w:i/>
      <w:color w:val="000000"/>
      <w:sz w:val="24"/>
    </w:rPr>
  </w:style>
  <w:style w:type="paragraph" w:customStyle="1" w:styleId="Styl1">
    <w:name w:val="Styl1"/>
    <w:basedOn w:val="Nadpis3"/>
    <w:rsid w:val="00FD6138"/>
    <w:pPr>
      <w:tabs>
        <w:tab w:val="left" w:pos="851"/>
        <w:tab w:val="left" w:pos="1418"/>
        <w:tab w:val="left" w:pos="2552"/>
        <w:tab w:val="left" w:pos="8789"/>
        <w:tab w:val="left" w:pos="8902"/>
      </w:tabs>
      <w:spacing w:line="300" w:lineRule="atLeast"/>
      <w:jc w:val="center"/>
    </w:pPr>
    <w:rPr>
      <w:b w:val="0"/>
      <w:bCs w:val="0"/>
      <w:szCs w:val="24"/>
    </w:rPr>
  </w:style>
  <w:style w:type="character" w:customStyle="1" w:styleId="ZkladntextChar">
    <w:name w:val="Základní text Char"/>
    <w:link w:val="Zkladntext"/>
    <w:locked/>
    <w:rsid w:val="00A23A9C"/>
    <w:rPr>
      <w:noProof/>
      <w:sz w:val="24"/>
    </w:rPr>
  </w:style>
  <w:style w:type="character" w:customStyle="1" w:styleId="ZhlavChar">
    <w:name w:val="Záhlaví Char"/>
    <w:link w:val="Zhlav"/>
    <w:rsid w:val="009A57B0"/>
    <w:rPr>
      <w:sz w:val="24"/>
    </w:rPr>
  </w:style>
  <w:style w:type="paragraph" w:customStyle="1" w:styleId="dokument">
    <w:name w:val="dokument"/>
    <w:basedOn w:val="Normln"/>
    <w:rsid w:val="00E44864"/>
    <w:rPr>
      <w:b/>
    </w:rPr>
  </w:style>
  <w:style w:type="paragraph" w:styleId="Zkladntextodsazen2">
    <w:name w:val="Body Text Indent 2"/>
    <w:basedOn w:val="Normln"/>
    <w:link w:val="Zkladntextodsazen2Char"/>
    <w:rsid w:val="005F511C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5F511C"/>
    <w:rPr>
      <w:sz w:val="24"/>
    </w:rPr>
  </w:style>
  <w:style w:type="paragraph" w:styleId="Textvbloku">
    <w:name w:val="Block Text"/>
    <w:basedOn w:val="Normln"/>
    <w:rsid w:val="005F511C"/>
    <w:pPr>
      <w:ind w:left="567" w:right="992" w:hanging="567"/>
    </w:pPr>
  </w:style>
  <w:style w:type="character" w:customStyle="1" w:styleId="Nadpis1Char">
    <w:name w:val="Nadpis 1 Char"/>
    <w:link w:val="Nadpis1"/>
    <w:rsid w:val="005046B3"/>
    <w:rPr>
      <w:b/>
      <w:sz w:val="28"/>
    </w:rPr>
  </w:style>
  <w:style w:type="paragraph" w:styleId="Bezmezer">
    <w:name w:val="No Spacing"/>
    <w:uiPriority w:val="1"/>
    <w:qFormat/>
    <w:rsid w:val="004156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B1D1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7739F-CB7B-44E7-98EC-A0F77918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1638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92</vt:lpstr>
    </vt:vector>
  </TitlesOfParts>
  <Company>THERMES</Company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92</dc:title>
  <dc:creator>THERMES spol. s r.o.</dc:creator>
  <cp:lastModifiedBy>Valter Novák</cp:lastModifiedBy>
  <cp:revision>2</cp:revision>
  <cp:lastPrinted>2017-08-15T11:13:00Z</cp:lastPrinted>
  <dcterms:created xsi:type="dcterms:W3CDTF">2023-04-04T05:15:00Z</dcterms:created>
  <dcterms:modified xsi:type="dcterms:W3CDTF">2023-04-04T05:15:00Z</dcterms:modified>
</cp:coreProperties>
</file>