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733D7B52"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sidR="00D67C19">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4E08CD2E"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05C82C66"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00534242</w:t>
      </w:r>
    </w:p>
    <w:p w14:paraId="60EB4FF4" w14:textId="349A70C4"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40E6646F"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Komerční banka, a.s.</w:t>
      </w:r>
    </w:p>
    <w:p w14:paraId="1483EDA0" w14:textId="158A2710"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sidR="00D67C19">
        <w:rPr>
          <w:rFonts w:ascii="Tahoma" w:hAnsi="Tahoma" w:cs="Tahoma"/>
          <w:sz w:val="20"/>
          <w:szCs w:val="20"/>
        </w:rPr>
        <w:tab/>
      </w:r>
      <w:r>
        <w:rPr>
          <w:rFonts w:ascii="Tahoma" w:hAnsi="Tahoma" w:cs="Tahoma"/>
          <w:sz w:val="20"/>
          <w:szCs w:val="20"/>
        </w:rPr>
        <w:t>29034781/0100</w:t>
      </w:r>
    </w:p>
    <w:p w14:paraId="243FDB0F" w14:textId="2F70B257" w:rsidR="004C7ABA" w:rsidRPr="00822161" w:rsidRDefault="00D67C19" w:rsidP="004C7ABA">
      <w:pPr>
        <w:spacing w:after="0"/>
        <w:rPr>
          <w:rFonts w:ascii="Tahoma" w:hAnsi="Tahoma" w:cs="Tahoma"/>
          <w:sz w:val="20"/>
          <w:szCs w:val="20"/>
        </w:rPr>
      </w:pPr>
      <w:r>
        <w:rPr>
          <w:rFonts w:ascii="Tahoma" w:hAnsi="Tahoma" w:cs="Tahoma"/>
          <w:sz w:val="20"/>
          <w:szCs w:val="20"/>
        </w:rPr>
        <w:t>Osoba oprávněna jednat ve věcech technických:</w:t>
      </w:r>
      <w:r>
        <w:rPr>
          <w:rFonts w:ascii="Tahoma" w:hAnsi="Tahoma" w:cs="Tahoma"/>
          <w:sz w:val="20"/>
          <w:szCs w:val="20"/>
        </w:rPr>
        <w:tab/>
      </w:r>
      <w:r w:rsidR="004C7ABA" w:rsidRPr="00822161">
        <w:rPr>
          <w:rFonts w:ascii="Tahoma" w:hAnsi="Tahoma" w:cs="Tahoma"/>
          <w:sz w:val="20"/>
          <w:szCs w:val="20"/>
        </w:rPr>
        <w:t xml:space="preserve">Bc. Jaroslav </w:t>
      </w:r>
      <w:proofErr w:type="spellStart"/>
      <w:r w:rsidR="004C7ABA" w:rsidRPr="00822161">
        <w:rPr>
          <w:rFonts w:ascii="Tahoma" w:hAnsi="Tahoma" w:cs="Tahoma"/>
          <w:sz w:val="20"/>
          <w:szCs w:val="20"/>
        </w:rPr>
        <w:t>Br</w:t>
      </w:r>
      <w:r w:rsidR="004C7ABA">
        <w:rPr>
          <w:rFonts w:ascii="Tahoma" w:hAnsi="Tahoma" w:cs="Tahoma"/>
          <w:sz w:val="20"/>
          <w:szCs w:val="20"/>
        </w:rPr>
        <w:t>zyszkowski</w:t>
      </w:r>
      <w:proofErr w:type="spellEnd"/>
      <w:r w:rsidR="004C7ABA">
        <w:rPr>
          <w:rFonts w:ascii="Tahoma" w:hAnsi="Tahoma" w:cs="Tahoma"/>
          <w:sz w:val="20"/>
          <w:szCs w:val="20"/>
        </w:rPr>
        <w:t xml:space="preserve"> </w:t>
      </w:r>
    </w:p>
    <w:p w14:paraId="40C39050" w14:textId="7F2E7E50" w:rsidR="004C7ABA" w:rsidRPr="00822161" w:rsidRDefault="00D67C19" w:rsidP="004C7ABA">
      <w:pPr>
        <w:spacing w:after="0"/>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bookmarkStart w:id="0" w:name="_GoBack"/>
      <w:bookmarkEnd w:id="0"/>
      <w:r w:rsidR="004C7ABA" w:rsidRPr="00822161">
        <w:rPr>
          <w:rFonts w:ascii="Tahoma" w:hAnsi="Tahoma" w:cs="Tahoma"/>
          <w:sz w:val="20"/>
          <w:szCs w:val="20"/>
        </w:rPr>
        <w:t>jaroslav.brzyszkowski@nemtr.cz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430A7263"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3155A0">
        <w:rPr>
          <w:rFonts w:ascii="Tahoma" w:hAnsi="Tahoma" w:cs="Tahoma"/>
          <w:sz w:val="20"/>
          <w:szCs w:val="20"/>
        </w:rPr>
        <w:t>10</w:t>
      </w:r>
      <w:r w:rsidR="002003B9">
        <w:rPr>
          <w:rFonts w:ascii="Tahoma" w:hAnsi="Tahoma" w:cs="Tahoma"/>
          <w:sz w:val="20"/>
          <w:szCs w:val="20"/>
        </w:rPr>
        <w:t>/</w:t>
      </w:r>
      <w:r w:rsidR="009B3707">
        <w:rPr>
          <w:rFonts w:ascii="Tahoma" w:hAnsi="Tahoma" w:cs="Tahoma"/>
          <w:sz w:val="20"/>
          <w:szCs w:val="20"/>
        </w:rPr>
        <w:t>spektrofotometr</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A443D4">
        <w:rPr>
          <w:rFonts w:ascii="Tahoma" w:hAnsi="Tahoma" w:cs="Tahoma"/>
          <w:sz w:val="20"/>
          <w:szCs w:val="20"/>
        </w:rPr>
        <w:t>0</w:t>
      </w:r>
      <w:r w:rsidR="002C219E">
        <w:rPr>
          <w:rFonts w:ascii="Tahoma" w:hAnsi="Tahoma" w:cs="Tahoma"/>
          <w:sz w:val="20"/>
          <w:szCs w:val="20"/>
        </w:rPr>
        <w:t>83</w:t>
      </w:r>
      <w:r w:rsidR="00814F00">
        <w:rPr>
          <w:rFonts w:ascii="Tahoma" w:hAnsi="Tahoma" w:cs="Tahoma"/>
          <w:sz w:val="20"/>
          <w:szCs w:val="20"/>
        </w:rPr>
        <w:t xml:space="preserve">, název: </w:t>
      </w:r>
      <w:r w:rsidR="009B3707">
        <w:rPr>
          <w:rFonts w:ascii="Tahoma" w:hAnsi="Tahoma" w:cs="Tahoma"/>
          <w:b/>
          <w:sz w:val="20"/>
          <w:szCs w:val="20"/>
        </w:rPr>
        <w:t>Spektrofotometr</w:t>
      </w:r>
      <w:r w:rsidR="0038443A">
        <w:rPr>
          <w:rFonts w:ascii="Tahoma" w:hAnsi="Tahoma" w:cs="Tahoma"/>
          <w:sz w:val="20"/>
          <w:szCs w:val="20"/>
        </w:rPr>
        <w:t xml:space="preserve">, </w:t>
      </w:r>
      <w:r w:rsidR="0038443A" w:rsidRPr="0038443A">
        <w:rPr>
          <w:rFonts w:ascii="Tahoma" w:hAnsi="Tahoma" w:cs="Tahoma"/>
          <w:sz w:val="20"/>
          <w:szCs w:val="20"/>
        </w:rPr>
        <w:t xml:space="preserve">jež není dle </w:t>
      </w:r>
      <w:proofErr w:type="spellStart"/>
      <w:r w:rsidR="0038443A" w:rsidRPr="0038443A">
        <w:rPr>
          <w:rFonts w:ascii="Tahoma" w:hAnsi="Tahoma" w:cs="Tahoma"/>
          <w:sz w:val="20"/>
          <w:szCs w:val="20"/>
        </w:rPr>
        <w:t>ust</w:t>
      </w:r>
      <w:proofErr w:type="spellEnd"/>
      <w:r w:rsidR="0038443A" w:rsidRPr="0038443A">
        <w:rPr>
          <w:rFonts w:ascii="Tahoma" w:hAnsi="Tahoma" w:cs="Tahoma"/>
          <w:sz w:val="20"/>
          <w:szCs w:val="20"/>
        </w:rPr>
        <w:t xml:space="preserve">.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lastRenderedPageBreak/>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2F7072F7"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dle pokynů kupujícího, kterým </w:t>
      </w:r>
      <w:r w:rsidR="009B3707">
        <w:rPr>
          <w:rFonts w:ascii="Tahoma" w:hAnsi="Tahoma" w:cs="Tahoma"/>
          <w:sz w:val="20"/>
          <w:szCs w:val="20"/>
        </w:rPr>
        <w:t>jsou</w:t>
      </w:r>
      <w:r w:rsidRPr="00592E5D">
        <w:rPr>
          <w:rFonts w:ascii="Tahoma" w:hAnsi="Tahoma" w:cs="Tahoma"/>
          <w:sz w:val="20"/>
          <w:szCs w:val="20"/>
        </w:rPr>
        <w:t xml:space="preserve"> </w:t>
      </w:r>
      <w:r w:rsidR="009B3707">
        <w:rPr>
          <w:rFonts w:ascii="Tahoma" w:hAnsi="Tahoma" w:cs="Tahoma"/>
          <w:sz w:val="20"/>
          <w:szCs w:val="20"/>
        </w:rPr>
        <w:t>klinické laboratoře</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3009712F"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B3707">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5657D9B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12830">
        <w:rPr>
          <w:rFonts w:ascii="Tahoma" w:hAnsi="Tahoma" w:cs="Tahoma"/>
          <w:sz w:val="20"/>
          <w:szCs w:val="20"/>
        </w:rPr>
        <w:t xml:space="preserve"> a uvedení do provozu, 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72E0F68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8A667B">
        <w:rPr>
          <w:rFonts w:ascii="Tahoma" w:hAnsi="Tahoma" w:cs="Tahoma"/>
          <w:sz w:val="20"/>
          <w:szCs w:val="20"/>
        </w:rPr>
        <w:t> primářem klinických laboratoří.</w:t>
      </w:r>
    </w:p>
    <w:p w14:paraId="7450CDFF" w14:textId="3669F706"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 xml:space="preserve">558 309 751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21C4A803" w14:textId="0FC85E09" w:rsidR="004C7ABA" w:rsidRPr="00592E5D" w:rsidRDefault="004C7ABA" w:rsidP="004C7ABA">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 ČSN EN 60601-1 a ČSN EN 62353 a dle požadavků výrobce</w:t>
      </w:r>
      <w:r w:rsidR="00AC2B5B">
        <w:rPr>
          <w:rFonts w:ascii="Tahoma" w:hAnsi="Tahoma" w:cs="Tahoma"/>
          <w:sz w:val="20"/>
          <w:szCs w:val="20"/>
        </w:rPr>
        <w:t xml:space="preserve"> a dle dokumentace vztahující se ke zboží,</w:t>
      </w:r>
    </w:p>
    <w:p w14:paraId="7F610329" w14:textId="14CC433C" w:rsidR="009D7C22" w:rsidRDefault="004C7ABA" w:rsidP="004C7ABA">
      <w:pPr>
        <w:tabs>
          <w:tab w:val="left" w:pos="853"/>
        </w:tabs>
        <w:spacing w:before="57" w:after="0" w:line="240" w:lineRule="auto"/>
        <w:ind w:left="853" w:hanging="441"/>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provádění aktualizace a upgrade softwarového vybavení přístroje</w:t>
      </w:r>
      <w:r w:rsidR="009D7C22">
        <w:rPr>
          <w:rFonts w:ascii="Tahoma" w:hAnsi="Tahoma" w:cs="Tahoma"/>
          <w:sz w:val="20"/>
          <w:szCs w:val="20"/>
        </w:rPr>
        <w:t>,</w:t>
      </w:r>
    </w:p>
    <w:p w14:paraId="106E511C" w14:textId="1E76B96E" w:rsidR="004C7ABA" w:rsidRPr="00592E5D" w:rsidRDefault="009D7C22" w:rsidP="004C7ABA">
      <w:pPr>
        <w:tabs>
          <w:tab w:val="left" w:pos="853"/>
        </w:tabs>
        <w:spacing w:before="57" w:after="0" w:line="240" w:lineRule="auto"/>
        <w:ind w:left="853" w:hanging="441"/>
        <w:rPr>
          <w:rFonts w:ascii="Tahoma" w:hAnsi="Tahoma" w:cs="Tahoma"/>
          <w:sz w:val="20"/>
          <w:szCs w:val="20"/>
        </w:rPr>
      </w:pPr>
      <w:r>
        <w:rPr>
          <w:rFonts w:ascii="Tahoma" w:hAnsi="Tahoma" w:cs="Tahoma"/>
          <w:sz w:val="20"/>
          <w:szCs w:val="20"/>
        </w:rPr>
        <w:t>-</w:t>
      </w:r>
      <w:r>
        <w:rPr>
          <w:rFonts w:ascii="Tahoma" w:hAnsi="Tahoma" w:cs="Tahoma"/>
          <w:sz w:val="20"/>
          <w:szCs w:val="20"/>
        </w:rPr>
        <w:tab/>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10F17AF1"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5187E509"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474924D8"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00D83088">
        <w:rPr>
          <w:rFonts w:ascii="Tahoma" w:eastAsia="Arial Unicode MS" w:hAnsi="Tahoma" w:cs="Tahoma"/>
          <w:sz w:val="20"/>
          <w:szCs w:val="20"/>
        </w:rPr>
        <w:t>, součásti</w:t>
      </w:r>
      <w:r w:rsidRPr="00BE281D">
        <w:rPr>
          <w:rFonts w:ascii="Tahoma" w:eastAsia="Arial Unicode MS" w:hAnsi="Tahoma" w:cs="Tahoma"/>
          <w:sz w:val="20"/>
          <w:szCs w:val="20"/>
        </w:rPr>
        <w:t xml:space="preserve"> a příslušenství</w:t>
      </w:r>
      <w:r w:rsidR="006C3F22">
        <w:rPr>
          <w:rFonts w:ascii="Tahoma" w:eastAsia="Arial Unicode MS" w:hAnsi="Tahoma" w:cs="Tahoma"/>
          <w:sz w:val="20"/>
          <w:szCs w:val="20"/>
        </w:rPr>
        <w:t>.</w:t>
      </w:r>
    </w:p>
    <w:p w14:paraId="60D1E460" w14:textId="56BBD02F" w:rsidR="009066C8" w:rsidRPr="00BE281D" w:rsidRDefault="009066C8" w:rsidP="004C7ABA">
      <w:pPr>
        <w:spacing w:before="120" w:after="0" w:line="200" w:lineRule="atLeast"/>
        <w:ind w:left="426"/>
        <w:rPr>
          <w:rFonts w:ascii="Tahoma" w:eastAsia="Arial Unicode MS" w:hAnsi="Tahoma" w:cs="Tahoma"/>
          <w:color w:val="000000"/>
          <w:sz w:val="20"/>
          <w:szCs w:val="20"/>
          <w:shd w:val="clear" w:color="auto" w:fill="FFFF00"/>
        </w:rPr>
      </w:pPr>
      <w:r>
        <w:rPr>
          <w:rFonts w:ascii="Tahoma" w:eastAsia="Arial Unicode MS" w:hAnsi="Tahoma" w:cs="Tahoma"/>
          <w:sz w:val="20"/>
          <w:szCs w:val="20"/>
        </w:rPr>
        <w:t>Příloha č. 2 – Požadavky na zabezpečení modalit v oblasti kybernetické bezpečnosti</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A4F9F" w16cid:durableId="2732F8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459" w14:textId="77777777" w:rsidR="001F5098" w:rsidRDefault="001F5098">
      <w:pPr>
        <w:spacing w:after="0" w:line="240" w:lineRule="auto"/>
      </w:pPr>
      <w:r>
        <w:separator/>
      </w:r>
    </w:p>
  </w:endnote>
  <w:endnote w:type="continuationSeparator" w:id="0">
    <w:p w14:paraId="20A1DD67" w14:textId="77777777" w:rsidR="001F5098" w:rsidRDefault="001F5098">
      <w:pPr>
        <w:spacing w:after="0" w:line="240" w:lineRule="auto"/>
      </w:pPr>
      <w:r>
        <w:continuationSeparator/>
      </w:r>
    </w:p>
  </w:endnote>
  <w:endnote w:type="continuationNotice" w:id="1">
    <w:p w14:paraId="2581CD0B" w14:textId="77777777" w:rsidR="001F5098" w:rsidRDefault="001F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67C19">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D67C19">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620A" w14:textId="77777777" w:rsidR="001F5098" w:rsidRDefault="001F5098">
      <w:pPr>
        <w:spacing w:after="0" w:line="240" w:lineRule="auto"/>
      </w:pPr>
      <w:r>
        <w:separator/>
      </w:r>
    </w:p>
  </w:footnote>
  <w:footnote w:type="continuationSeparator" w:id="0">
    <w:p w14:paraId="369CDC41" w14:textId="77777777" w:rsidR="001F5098" w:rsidRDefault="001F5098">
      <w:pPr>
        <w:spacing w:after="0" w:line="240" w:lineRule="auto"/>
      </w:pPr>
      <w:r>
        <w:continuationSeparator/>
      </w:r>
    </w:p>
  </w:footnote>
  <w:footnote w:type="continuationNotice" w:id="1">
    <w:p w14:paraId="1FD9103F" w14:textId="77777777" w:rsidR="001F5098" w:rsidRDefault="001F50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7E458F" w:rsidRDefault="007E458F">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6824"/>
    <w:rsid w:val="00087986"/>
    <w:rsid w:val="0009267D"/>
    <w:rsid w:val="00095DF6"/>
    <w:rsid w:val="000C6EBD"/>
    <w:rsid w:val="000E412C"/>
    <w:rsid w:val="000F7CCD"/>
    <w:rsid w:val="00103067"/>
    <w:rsid w:val="00144689"/>
    <w:rsid w:val="001609BD"/>
    <w:rsid w:val="00165DA0"/>
    <w:rsid w:val="00172EE6"/>
    <w:rsid w:val="00173A20"/>
    <w:rsid w:val="0017440B"/>
    <w:rsid w:val="001902D2"/>
    <w:rsid w:val="001C423B"/>
    <w:rsid w:val="001E66C2"/>
    <w:rsid w:val="001F5098"/>
    <w:rsid w:val="002003B9"/>
    <w:rsid w:val="00200EB8"/>
    <w:rsid w:val="00207CDF"/>
    <w:rsid w:val="002416FA"/>
    <w:rsid w:val="002564E9"/>
    <w:rsid w:val="00295E6E"/>
    <w:rsid w:val="002A0051"/>
    <w:rsid w:val="002A28A6"/>
    <w:rsid w:val="002A3660"/>
    <w:rsid w:val="002C0D6C"/>
    <w:rsid w:val="002C219E"/>
    <w:rsid w:val="002D1C74"/>
    <w:rsid w:val="002E3987"/>
    <w:rsid w:val="002F5B62"/>
    <w:rsid w:val="00313CB6"/>
    <w:rsid w:val="003155A0"/>
    <w:rsid w:val="003156D4"/>
    <w:rsid w:val="003163D2"/>
    <w:rsid w:val="003163DE"/>
    <w:rsid w:val="0032355B"/>
    <w:rsid w:val="00340E46"/>
    <w:rsid w:val="003738C7"/>
    <w:rsid w:val="0038443A"/>
    <w:rsid w:val="003866CD"/>
    <w:rsid w:val="00392F88"/>
    <w:rsid w:val="00393F2B"/>
    <w:rsid w:val="0039785F"/>
    <w:rsid w:val="003A4A90"/>
    <w:rsid w:val="003A7D5A"/>
    <w:rsid w:val="003D3E96"/>
    <w:rsid w:val="003D64A7"/>
    <w:rsid w:val="003D7B49"/>
    <w:rsid w:val="0043257B"/>
    <w:rsid w:val="00434462"/>
    <w:rsid w:val="004416EF"/>
    <w:rsid w:val="0046024B"/>
    <w:rsid w:val="004603D4"/>
    <w:rsid w:val="004755D9"/>
    <w:rsid w:val="004B79A6"/>
    <w:rsid w:val="004C7ABA"/>
    <w:rsid w:val="004D3BA3"/>
    <w:rsid w:val="004D5ED6"/>
    <w:rsid w:val="004E2F1F"/>
    <w:rsid w:val="00514D29"/>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66F7"/>
    <w:rsid w:val="00632EBC"/>
    <w:rsid w:val="00647528"/>
    <w:rsid w:val="00661284"/>
    <w:rsid w:val="006754DA"/>
    <w:rsid w:val="00681399"/>
    <w:rsid w:val="006A7FDB"/>
    <w:rsid w:val="006C12BF"/>
    <w:rsid w:val="006C3F22"/>
    <w:rsid w:val="006D10F7"/>
    <w:rsid w:val="00704E0F"/>
    <w:rsid w:val="00714901"/>
    <w:rsid w:val="00715B40"/>
    <w:rsid w:val="00716866"/>
    <w:rsid w:val="0073015B"/>
    <w:rsid w:val="00754448"/>
    <w:rsid w:val="00757A04"/>
    <w:rsid w:val="00766F06"/>
    <w:rsid w:val="00794147"/>
    <w:rsid w:val="007C6BFC"/>
    <w:rsid w:val="007D3874"/>
    <w:rsid w:val="007E458F"/>
    <w:rsid w:val="00813DCA"/>
    <w:rsid w:val="00814F00"/>
    <w:rsid w:val="00830522"/>
    <w:rsid w:val="008961D8"/>
    <w:rsid w:val="008A667B"/>
    <w:rsid w:val="008B6B77"/>
    <w:rsid w:val="008D5FC7"/>
    <w:rsid w:val="008D6423"/>
    <w:rsid w:val="008F06E6"/>
    <w:rsid w:val="009005F3"/>
    <w:rsid w:val="00905839"/>
    <w:rsid w:val="009066C8"/>
    <w:rsid w:val="00912830"/>
    <w:rsid w:val="009132DD"/>
    <w:rsid w:val="00913A09"/>
    <w:rsid w:val="009145AB"/>
    <w:rsid w:val="009155FE"/>
    <w:rsid w:val="0092149E"/>
    <w:rsid w:val="00923DD9"/>
    <w:rsid w:val="00941168"/>
    <w:rsid w:val="00944CB7"/>
    <w:rsid w:val="00945BB1"/>
    <w:rsid w:val="00970BFA"/>
    <w:rsid w:val="00987510"/>
    <w:rsid w:val="009B3707"/>
    <w:rsid w:val="009C2A8A"/>
    <w:rsid w:val="009D6A29"/>
    <w:rsid w:val="009D76DD"/>
    <w:rsid w:val="009D7C22"/>
    <w:rsid w:val="009E5949"/>
    <w:rsid w:val="00A3787E"/>
    <w:rsid w:val="00A443D4"/>
    <w:rsid w:val="00A455A4"/>
    <w:rsid w:val="00A54CAC"/>
    <w:rsid w:val="00AB3ADF"/>
    <w:rsid w:val="00AC1D8F"/>
    <w:rsid w:val="00AC2B5B"/>
    <w:rsid w:val="00AE26C5"/>
    <w:rsid w:val="00B116D9"/>
    <w:rsid w:val="00B341DC"/>
    <w:rsid w:val="00B941AB"/>
    <w:rsid w:val="00BC414E"/>
    <w:rsid w:val="00BE281D"/>
    <w:rsid w:val="00BF59A0"/>
    <w:rsid w:val="00C237A5"/>
    <w:rsid w:val="00C27336"/>
    <w:rsid w:val="00C30C71"/>
    <w:rsid w:val="00C3274E"/>
    <w:rsid w:val="00C417CF"/>
    <w:rsid w:val="00C52126"/>
    <w:rsid w:val="00C5389C"/>
    <w:rsid w:val="00C60FF6"/>
    <w:rsid w:val="00C61F2F"/>
    <w:rsid w:val="00C846B3"/>
    <w:rsid w:val="00CD17DD"/>
    <w:rsid w:val="00CD5289"/>
    <w:rsid w:val="00CE7F6D"/>
    <w:rsid w:val="00CF693A"/>
    <w:rsid w:val="00D02389"/>
    <w:rsid w:val="00D073D2"/>
    <w:rsid w:val="00D51354"/>
    <w:rsid w:val="00D57693"/>
    <w:rsid w:val="00D67C19"/>
    <w:rsid w:val="00D83088"/>
    <w:rsid w:val="00D83E45"/>
    <w:rsid w:val="00D91CDB"/>
    <w:rsid w:val="00DA3B76"/>
    <w:rsid w:val="00DA5574"/>
    <w:rsid w:val="00DB2792"/>
    <w:rsid w:val="00DF1783"/>
    <w:rsid w:val="00E024EB"/>
    <w:rsid w:val="00E129ED"/>
    <w:rsid w:val="00E14893"/>
    <w:rsid w:val="00E20C5A"/>
    <w:rsid w:val="00E2628F"/>
    <w:rsid w:val="00E44007"/>
    <w:rsid w:val="00E46F3D"/>
    <w:rsid w:val="00E50F0C"/>
    <w:rsid w:val="00ED33F9"/>
    <w:rsid w:val="00EE3A49"/>
    <w:rsid w:val="00EF13B8"/>
    <w:rsid w:val="00F10201"/>
    <w:rsid w:val="00F16AAD"/>
    <w:rsid w:val="00F56406"/>
    <w:rsid w:val="00F65BC1"/>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ie.sikorov&#225;@nemt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10</Pages>
  <Words>4057</Words>
  <Characters>23943</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39</cp:revision>
  <cp:lastPrinted>2023-11-15T11:49:00Z</cp:lastPrinted>
  <dcterms:created xsi:type="dcterms:W3CDTF">2022-12-01T12:07:00Z</dcterms:created>
  <dcterms:modified xsi:type="dcterms:W3CDTF">2025-03-28T10:48:00Z</dcterms:modified>
</cp:coreProperties>
</file>