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E6" w:rsidRPr="008B1BB4" w:rsidRDefault="007E3B4C" w:rsidP="001821E6">
      <w:pPr>
        <w:pStyle w:val="Bezmezer"/>
        <w:rPr>
          <w:rFonts w:ascii="Arial" w:hAnsi="Arial" w:cs="Arial"/>
          <w:sz w:val="20"/>
          <w:szCs w:val="20"/>
        </w:rPr>
      </w:pPr>
      <w:proofErr w:type="gramStart"/>
      <w:r w:rsidRPr="008B1BB4">
        <w:rPr>
          <w:rFonts w:ascii="Arial" w:hAnsi="Arial" w:cs="Arial"/>
          <w:sz w:val="20"/>
          <w:szCs w:val="20"/>
        </w:rPr>
        <w:t xml:space="preserve">Příloha č,  </w:t>
      </w:r>
      <w:r w:rsidR="001821E6" w:rsidRPr="008B1BB4">
        <w:rPr>
          <w:rFonts w:ascii="Arial" w:hAnsi="Arial" w:cs="Arial"/>
          <w:sz w:val="20"/>
          <w:szCs w:val="20"/>
        </w:rPr>
        <w:t>Požadavky</w:t>
      </w:r>
      <w:proofErr w:type="gramEnd"/>
      <w:r w:rsidR="001821E6" w:rsidRPr="008B1BB4">
        <w:rPr>
          <w:rFonts w:ascii="Arial" w:hAnsi="Arial" w:cs="Arial"/>
          <w:sz w:val="20"/>
          <w:szCs w:val="20"/>
        </w:rPr>
        <w:t xml:space="preserve"> na </w:t>
      </w:r>
      <w:r w:rsidRPr="008B1BB4">
        <w:rPr>
          <w:rFonts w:ascii="Arial" w:hAnsi="Arial" w:cs="Arial"/>
          <w:sz w:val="20"/>
          <w:szCs w:val="20"/>
        </w:rPr>
        <w:t>PD</w:t>
      </w:r>
    </w:p>
    <w:p w:rsidR="001821E6" w:rsidRPr="008B1BB4" w:rsidRDefault="001821E6" w:rsidP="001821E6">
      <w:pPr>
        <w:pStyle w:val="Bezmezer"/>
        <w:rPr>
          <w:rFonts w:ascii="Arial" w:hAnsi="Arial" w:cs="Arial"/>
          <w:sz w:val="20"/>
          <w:szCs w:val="20"/>
        </w:rPr>
      </w:pPr>
    </w:p>
    <w:p w:rsidR="001821E6" w:rsidRPr="008B1BB4" w:rsidRDefault="001821E6" w:rsidP="001821E6">
      <w:pPr>
        <w:pStyle w:val="Bezmezer"/>
        <w:rPr>
          <w:rFonts w:ascii="Arial" w:hAnsi="Arial" w:cs="Arial"/>
          <w:b/>
          <w:sz w:val="20"/>
          <w:szCs w:val="20"/>
        </w:rPr>
      </w:pPr>
      <w:r w:rsidRPr="008B1BB4">
        <w:rPr>
          <w:rFonts w:ascii="Arial" w:hAnsi="Arial" w:cs="Arial"/>
          <w:b/>
          <w:sz w:val="20"/>
          <w:szCs w:val="20"/>
        </w:rPr>
        <w:t xml:space="preserve">Název stavby: </w:t>
      </w:r>
      <w:r w:rsidRPr="008B1BB4">
        <w:rPr>
          <w:rFonts w:ascii="Arial" w:hAnsi="Arial" w:cs="Arial"/>
          <w:b/>
          <w:sz w:val="20"/>
          <w:szCs w:val="20"/>
        </w:rPr>
        <w:tab/>
        <w:t>Rekonstrukce Klinických laboratoří“</w:t>
      </w:r>
    </w:p>
    <w:p w:rsidR="001821E6" w:rsidRPr="008B1BB4" w:rsidRDefault="001821E6" w:rsidP="001821E6">
      <w:pPr>
        <w:pStyle w:val="Bezmezer"/>
        <w:rPr>
          <w:rFonts w:ascii="Arial" w:hAnsi="Arial" w:cs="Arial"/>
          <w:b/>
          <w:sz w:val="20"/>
          <w:szCs w:val="20"/>
        </w:rPr>
      </w:pPr>
    </w:p>
    <w:p w:rsidR="001821E6" w:rsidRPr="008B1BB4" w:rsidRDefault="001821E6" w:rsidP="001821E6">
      <w:pPr>
        <w:pStyle w:val="Bezmezer"/>
        <w:rPr>
          <w:rFonts w:ascii="Arial" w:hAnsi="Arial" w:cs="Arial"/>
          <w:b/>
          <w:sz w:val="20"/>
          <w:szCs w:val="20"/>
        </w:rPr>
      </w:pPr>
      <w:r w:rsidRPr="008B1BB4">
        <w:rPr>
          <w:rFonts w:ascii="Arial" w:hAnsi="Arial" w:cs="Arial"/>
          <w:b/>
          <w:sz w:val="20"/>
          <w:szCs w:val="20"/>
        </w:rPr>
        <w:t>Monoblok, blok E 2PP</w:t>
      </w:r>
    </w:p>
    <w:p w:rsidR="001821E6" w:rsidRPr="008B1BB4" w:rsidRDefault="001821E6" w:rsidP="001821E6">
      <w:pPr>
        <w:pStyle w:val="Bezmezer"/>
        <w:rPr>
          <w:rFonts w:ascii="Arial" w:hAnsi="Arial" w:cs="Arial"/>
          <w:sz w:val="20"/>
          <w:szCs w:val="20"/>
        </w:rPr>
      </w:pPr>
    </w:p>
    <w:p w:rsidR="001821E6" w:rsidRPr="008B1BB4" w:rsidRDefault="001821E6" w:rsidP="00943409">
      <w:pPr>
        <w:pStyle w:val="Bezmezer"/>
        <w:numPr>
          <w:ilvl w:val="0"/>
          <w:numId w:val="2"/>
        </w:numPr>
        <w:jc w:val="both"/>
        <w:rPr>
          <w:rFonts w:ascii="Arial" w:hAnsi="Arial" w:cs="Arial"/>
          <w:b/>
          <w:sz w:val="20"/>
          <w:szCs w:val="20"/>
        </w:rPr>
      </w:pPr>
      <w:r w:rsidRPr="008B1BB4">
        <w:rPr>
          <w:rFonts w:ascii="Arial" w:hAnsi="Arial" w:cs="Arial"/>
          <w:b/>
          <w:sz w:val="20"/>
          <w:szCs w:val="20"/>
        </w:rPr>
        <w:t>Stavební část</w:t>
      </w:r>
    </w:p>
    <w:p w:rsidR="001821E6" w:rsidRPr="008B1BB4" w:rsidRDefault="001821E6" w:rsidP="00943409">
      <w:pPr>
        <w:pStyle w:val="Bezmezer"/>
        <w:numPr>
          <w:ilvl w:val="0"/>
          <w:numId w:val="7"/>
        </w:numPr>
        <w:jc w:val="both"/>
        <w:rPr>
          <w:rFonts w:ascii="Arial" w:hAnsi="Arial" w:cs="Arial"/>
          <w:sz w:val="20"/>
          <w:szCs w:val="20"/>
        </w:rPr>
      </w:pPr>
      <w:r w:rsidRPr="008B1BB4">
        <w:rPr>
          <w:rFonts w:ascii="Arial" w:hAnsi="Arial" w:cs="Arial"/>
          <w:sz w:val="20"/>
          <w:szCs w:val="20"/>
        </w:rPr>
        <w:t xml:space="preserve">Z urbanistického a architektonického hlediska se jedná o řešení ve stávajících prostorech bez výrazného zásahu do charakteru stávajícího objektu. Rekonstrukce nevyžaduje žádnou územně technickou přípravu území, podmiňující vlastní rekonstrukci. Rekonstruované prostory jsou připojeny na média ze stávajících rozvodů monobloku. </w:t>
      </w:r>
    </w:p>
    <w:p w:rsidR="001821E6" w:rsidRPr="008B1BB4" w:rsidRDefault="001821E6" w:rsidP="00943409">
      <w:pPr>
        <w:pStyle w:val="Bezmezer"/>
        <w:numPr>
          <w:ilvl w:val="0"/>
          <w:numId w:val="7"/>
        </w:numPr>
        <w:jc w:val="both"/>
        <w:rPr>
          <w:rFonts w:ascii="Arial" w:hAnsi="Arial" w:cs="Arial"/>
          <w:sz w:val="20"/>
          <w:szCs w:val="20"/>
        </w:rPr>
      </w:pPr>
      <w:r w:rsidRPr="008B1BB4">
        <w:rPr>
          <w:rFonts w:ascii="Arial" w:hAnsi="Arial" w:cs="Arial"/>
          <w:sz w:val="20"/>
          <w:szCs w:val="20"/>
        </w:rPr>
        <w:t>Stavební úpravy oddělení klinických laboratoří v 1. PP blok E monobloku nemocnice se zachováním stávajících kapacit pro obsloužení denně pro cca 100 pacientů.</w:t>
      </w:r>
    </w:p>
    <w:p w:rsidR="001821E6" w:rsidRPr="008B1BB4" w:rsidRDefault="001821E6" w:rsidP="00943409">
      <w:pPr>
        <w:pStyle w:val="Bezmezer"/>
        <w:numPr>
          <w:ilvl w:val="0"/>
          <w:numId w:val="7"/>
        </w:numPr>
        <w:jc w:val="both"/>
        <w:rPr>
          <w:rFonts w:ascii="Arial" w:hAnsi="Arial" w:cs="Arial"/>
          <w:sz w:val="20"/>
          <w:szCs w:val="20"/>
        </w:rPr>
      </w:pPr>
      <w:r w:rsidRPr="008B1BB4">
        <w:rPr>
          <w:rFonts w:ascii="Arial" w:hAnsi="Arial" w:cs="Arial"/>
          <w:sz w:val="20"/>
          <w:szCs w:val="20"/>
        </w:rPr>
        <w:t>Úprava dispozic tak, aby sociální zařízení byly plně bezbariérové. Změny budou provedeny u vodovodní a ka</w:t>
      </w:r>
      <w:r w:rsidR="008B1BB4">
        <w:rPr>
          <w:rFonts w:ascii="Arial" w:hAnsi="Arial" w:cs="Arial"/>
          <w:sz w:val="20"/>
          <w:szCs w:val="20"/>
        </w:rPr>
        <w:t>nalizační instalaci,</w:t>
      </w:r>
      <w:r w:rsidRPr="008B1BB4">
        <w:rPr>
          <w:rFonts w:ascii="Arial" w:hAnsi="Arial" w:cs="Arial"/>
          <w:sz w:val="20"/>
          <w:szCs w:val="20"/>
        </w:rPr>
        <w:t xml:space="preserve"> tam kde dojde ke kolizi s novým stavebně-technickým uspořádáním. </w:t>
      </w:r>
    </w:p>
    <w:p w:rsidR="001821E6" w:rsidRPr="008B1BB4" w:rsidRDefault="001821E6" w:rsidP="00943409">
      <w:pPr>
        <w:pStyle w:val="Bezmezer"/>
        <w:numPr>
          <w:ilvl w:val="0"/>
          <w:numId w:val="7"/>
        </w:numPr>
        <w:jc w:val="both"/>
        <w:rPr>
          <w:rFonts w:ascii="Arial" w:hAnsi="Arial" w:cs="Arial"/>
          <w:sz w:val="20"/>
          <w:szCs w:val="20"/>
        </w:rPr>
      </w:pPr>
      <w:r w:rsidRPr="008B1BB4">
        <w:rPr>
          <w:rFonts w:ascii="Arial" w:hAnsi="Arial" w:cs="Arial"/>
          <w:sz w:val="20"/>
          <w:szCs w:val="20"/>
        </w:rPr>
        <w:t>Výměna všech dveří vč. Kování, automatické vstupní protipožární dveře (</w:t>
      </w:r>
      <w:proofErr w:type="spellStart"/>
      <w:r w:rsidRPr="008B1BB4">
        <w:rPr>
          <w:rFonts w:ascii="Arial" w:hAnsi="Arial" w:cs="Arial"/>
          <w:sz w:val="20"/>
          <w:szCs w:val="20"/>
        </w:rPr>
        <w:t>ChÚC</w:t>
      </w:r>
      <w:proofErr w:type="spellEnd"/>
      <w:r w:rsidRPr="008B1BB4">
        <w:rPr>
          <w:rFonts w:ascii="Arial" w:hAnsi="Arial" w:cs="Arial"/>
          <w:sz w:val="20"/>
          <w:szCs w:val="20"/>
        </w:rPr>
        <w:t xml:space="preserve"> typ A)</w:t>
      </w:r>
    </w:p>
    <w:p w:rsidR="001821E6" w:rsidRPr="008B1BB4" w:rsidRDefault="001821E6" w:rsidP="00943409">
      <w:pPr>
        <w:pStyle w:val="Bezmezer"/>
        <w:numPr>
          <w:ilvl w:val="0"/>
          <w:numId w:val="7"/>
        </w:numPr>
        <w:jc w:val="both"/>
        <w:rPr>
          <w:rFonts w:ascii="Arial" w:hAnsi="Arial" w:cs="Arial"/>
          <w:sz w:val="20"/>
          <w:szCs w:val="20"/>
        </w:rPr>
      </w:pPr>
      <w:r w:rsidRPr="008B1BB4">
        <w:rPr>
          <w:rFonts w:ascii="Arial" w:hAnsi="Arial" w:cs="Arial"/>
          <w:sz w:val="20"/>
          <w:szCs w:val="20"/>
        </w:rPr>
        <w:t>Vybourání podlah v rekonstruované části</w:t>
      </w:r>
    </w:p>
    <w:p w:rsidR="001821E6" w:rsidRPr="00D92920" w:rsidRDefault="001821E6" w:rsidP="00943409">
      <w:pPr>
        <w:pStyle w:val="Bezmezer"/>
        <w:numPr>
          <w:ilvl w:val="0"/>
          <w:numId w:val="7"/>
        </w:numPr>
        <w:jc w:val="both"/>
        <w:rPr>
          <w:rFonts w:ascii="Arial" w:hAnsi="Arial" w:cs="Arial"/>
          <w:sz w:val="20"/>
          <w:szCs w:val="20"/>
        </w:rPr>
      </w:pPr>
      <w:r w:rsidRPr="00D92920">
        <w:rPr>
          <w:rFonts w:ascii="Arial" w:hAnsi="Arial" w:cs="Arial"/>
          <w:sz w:val="20"/>
          <w:szCs w:val="20"/>
        </w:rPr>
        <w:t>Výměna podlahové krytiny v celém rozsahu (nová vinylová podlahovina</w:t>
      </w:r>
      <w:r w:rsidR="00D92920" w:rsidRPr="00D92920">
        <w:rPr>
          <w:rFonts w:ascii="Arial" w:hAnsi="Arial" w:cs="Arial"/>
          <w:sz w:val="20"/>
          <w:szCs w:val="20"/>
        </w:rPr>
        <w:t xml:space="preserve">, </w:t>
      </w:r>
      <w:r w:rsidRPr="00D92920">
        <w:rPr>
          <w:rFonts w:ascii="Arial" w:hAnsi="Arial" w:cs="Arial"/>
          <w:sz w:val="20"/>
          <w:szCs w:val="20"/>
        </w:rPr>
        <w:t>WC-vinylová protiskluzová podlahovina</w:t>
      </w:r>
      <w:r w:rsidR="00D92920">
        <w:rPr>
          <w:rFonts w:ascii="Arial" w:hAnsi="Arial" w:cs="Arial"/>
          <w:sz w:val="20"/>
          <w:szCs w:val="20"/>
        </w:rPr>
        <w:t>)</w:t>
      </w:r>
    </w:p>
    <w:p w:rsidR="001821E6" w:rsidRPr="008B1BB4" w:rsidRDefault="001821E6" w:rsidP="00943409">
      <w:pPr>
        <w:pStyle w:val="Bezmezer"/>
        <w:numPr>
          <w:ilvl w:val="0"/>
          <w:numId w:val="7"/>
        </w:numPr>
        <w:jc w:val="both"/>
        <w:rPr>
          <w:rFonts w:ascii="Arial" w:hAnsi="Arial" w:cs="Arial"/>
          <w:sz w:val="20"/>
          <w:szCs w:val="20"/>
        </w:rPr>
      </w:pPr>
      <w:r w:rsidRPr="008B1BB4">
        <w:rPr>
          <w:rFonts w:ascii="Arial" w:hAnsi="Arial" w:cs="Arial"/>
          <w:sz w:val="20"/>
          <w:szCs w:val="20"/>
        </w:rPr>
        <w:t>Výměna podhledů (100%)</w:t>
      </w:r>
    </w:p>
    <w:p w:rsidR="001821E6" w:rsidRPr="008B1BB4" w:rsidRDefault="001821E6" w:rsidP="00943409">
      <w:pPr>
        <w:pStyle w:val="Bezmezer"/>
        <w:numPr>
          <w:ilvl w:val="0"/>
          <w:numId w:val="2"/>
        </w:numPr>
        <w:jc w:val="both"/>
        <w:rPr>
          <w:rFonts w:ascii="Arial" w:hAnsi="Arial" w:cs="Arial"/>
          <w:sz w:val="20"/>
          <w:szCs w:val="20"/>
        </w:rPr>
      </w:pPr>
      <w:r w:rsidRPr="008B1BB4">
        <w:rPr>
          <w:rFonts w:ascii="Arial" w:hAnsi="Arial" w:cs="Arial"/>
          <w:sz w:val="20"/>
          <w:szCs w:val="20"/>
        </w:rPr>
        <w:t>PBŘS</w:t>
      </w:r>
    </w:p>
    <w:p w:rsidR="008B1BB4" w:rsidRPr="008B1BB4" w:rsidRDefault="008B1BB4" w:rsidP="00D92920">
      <w:pPr>
        <w:pStyle w:val="Bezmezer"/>
        <w:numPr>
          <w:ilvl w:val="0"/>
          <w:numId w:val="6"/>
        </w:numPr>
        <w:ind w:left="1560" w:hanging="495"/>
        <w:jc w:val="both"/>
        <w:rPr>
          <w:rFonts w:ascii="Arial" w:hAnsi="Arial" w:cs="Arial"/>
          <w:sz w:val="20"/>
          <w:szCs w:val="20"/>
        </w:rPr>
      </w:pPr>
      <w:r w:rsidRPr="008B1BB4">
        <w:rPr>
          <w:rFonts w:ascii="Arial" w:hAnsi="Arial" w:cs="Arial"/>
          <w:sz w:val="20"/>
          <w:szCs w:val="20"/>
        </w:rPr>
        <w:t>Součástí je i požárně bezpečnostní řešení.</w:t>
      </w:r>
    </w:p>
    <w:p w:rsidR="001821E6" w:rsidRPr="008B1BB4" w:rsidRDefault="001821E6" w:rsidP="00D92920">
      <w:pPr>
        <w:pStyle w:val="Bezmezer"/>
        <w:numPr>
          <w:ilvl w:val="0"/>
          <w:numId w:val="6"/>
        </w:numPr>
        <w:ind w:left="1560" w:hanging="495"/>
        <w:jc w:val="both"/>
        <w:rPr>
          <w:rFonts w:ascii="Arial" w:hAnsi="Arial" w:cs="Arial"/>
          <w:sz w:val="20"/>
          <w:szCs w:val="20"/>
        </w:rPr>
      </w:pPr>
      <w:r w:rsidRPr="008B1BB4">
        <w:rPr>
          <w:rFonts w:ascii="Arial" w:hAnsi="Arial" w:cs="Arial"/>
          <w:sz w:val="20"/>
          <w:szCs w:val="20"/>
        </w:rPr>
        <w:t>projednání s HZS se souhlasným výsledkem!</w:t>
      </w:r>
    </w:p>
    <w:p w:rsidR="001821E6" w:rsidRPr="008B1BB4" w:rsidRDefault="001821E6" w:rsidP="00943409">
      <w:pPr>
        <w:pStyle w:val="Bezmezer"/>
        <w:numPr>
          <w:ilvl w:val="0"/>
          <w:numId w:val="2"/>
        </w:numPr>
        <w:jc w:val="both"/>
        <w:rPr>
          <w:rFonts w:ascii="Arial" w:hAnsi="Arial" w:cs="Arial"/>
          <w:sz w:val="20"/>
          <w:szCs w:val="20"/>
        </w:rPr>
      </w:pPr>
      <w:r w:rsidRPr="008B1BB4">
        <w:rPr>
          <w:rFonts w:ascii="Arial" w:hAnsi="Arial" w:cs="Arial"/>
          <w:sz w:val="20"/>
          <w:szCs w:val="20"/>
        </w:rPr>
        <w:t>ZTI</w:t>
      </w:r>
      <w:bookmarkStart w:id="0" w:name="_GoBack"/>
      <w:bookmarkEnd w:id="0"/>
    </w:p>
    <w:p w:rsidR="001821E6" w:rsidRPr="008B1BB4" w:rsidRDefault="001821E6" w:rsidP="00D92920">
      <w:pPr>
        <w:pStyle w:val="Bezmezer"/>
        <w:numPr>
          <w:ilvl w:val="0"/>
          <w:numId w:val="6"/>
        </w:numPr>
        <w:ind w:left="1560"/>
        <w:jc w:val="both"/>
        <w:rPr>
          <w:rFonts w:ascii="Arial" w:hAnsi="Arial" w:cs="Arial"/>
          <w:sz w:val="20"/>
          <w:szCs w:val="20"/>
        </w:rPr>
      </w:pPr>
      <w:r w:rsidRPr="008B1BB4">
        <w:rPr>
          <w:rFonts w:ascii="Arial" w:hAnsi="Arial" w:cs="Arial"/>
          <w:sz w:val="20"/>
          <w:szCs w:val="20"/>
        </w:rPr>
        <w:t>Úpravy ZTI dle nových dispozic)</w:t>
      </w:r>
    </w:p>
    <w:p w:rsidR="001821E6" w:rsidRPr="008B1BB4" w:rsidRDefault="001821E6" w:rsidP="00943409">
      <w:pPr>
        <w:pStyle w:val="Bezmezer"/>
        <w:numPr>
          <w:ilvl w:val="0"/>
          <w:numId w:val="2"/>
        </w:numPr>
        <w:jc w:val="both"/>
        <w:rPr>
          <w:rFonts w:ascii="Arial" w:hAnsi="Arial" w:cs="Arial"/>
          <w:sz w:val="20"/>
          <w:szCs w:val="20"/>
        </w:rPr>
      </w:pPr>
      <w:r w:rsidRPr="008B1BB4">
        <w:rPr>
          <w:rFonts w:ascii="Arial" w:hAnsi="Arial" w:cs="Arial"/>
          <w:sz w:val="20"/>
          <w:szCs w:val="20"/>
        </w:rPr>
        <w:t>Topení + Chlazení</w:t>
      </w:r>
    </w:p>
    <w:p w:rsidR="001821E6" w:rsidRPr="008B1BB4" w:rsidRDefault="001821E6" w:rsidP="00943409">
      <w:pPr>
        <w:pStyle w:val="Bezmezer"/>
        <w:numPr>
          <w:ilvl w:val="0"/>
          <w:numId w:val="6"/>
        </w:numPr>
        <w:ind w:left="1418" w:hanging="353"/>
        <w:jc w:val="both"/>
        <w:rPr>
          <w:rFonts w:ascii="Arial" w:hAnsi="Arial" w:cs="Arial"/>
          <w:sz w:val="20"/>
          <w:szCs w:val="20"/>
        </w:rPr>
      </w:pPr>
      <w:r w:rsidRPr="008B1BB4">
        <w:rPr>
          <w:rFonts w:ascii="Arial" w:hAnsi="Arial" w:cs="Arial"/>
          <w:sz w:val="20"/>
          <w:szCs w:val="20"/>
        </w:rPr>
        <w:t>Radiátory s propojením VK v provedení hygiena bez mřížky, rozvody zazdít</w:t>
      </w:r>
    </w:p>
    <w:p w:rsidR="001821E6" w:rsidRPr="008B1BB4" w:rsidRDefault="001821E6" w:rsidP="00943409">
      <w:pPr>
        <w:pStyle w:val="Bezmezer"/>
        <w:numPr>
          <w:ilvl w:val="0"/>
          <w:numId w:val="6"/>
        </w:numPr>
        <w:ind w:left="1418" w:hanging="353"/>
        <w:jc w:val="both"/>
        <w:rPr>
          <w:rFonts w:ascii="Arial" w:hAnsi="Arial" w:cs="Arial"/>
          <w:sz w:val="20"/>
          <w:szCs w:val="20"/>
        </w:rPr>
      </w:pPr>
      <w:r w:rsidRPr="008B1BB4">
        <w:rPr>
          <w:rFonts w:ascii="Arial" w:hAnsi="Arial" w:cs="Arial"/>
          <w:sz w:val="20"/>
          <w:szCs w:val="20"/>
        </w:rPr>
        <w:t>Rozvody topení pod omítkou, Obezdění, případně zakufrování stávajících stoupaček topení</w:t>
      </w:r>
    </w:p>
    <w:p w:rsidR="001821E6" w:rsidRPr="008B1BB4" w:rsidRDefault="001821E6" w:rsidP="00943409">
      <w:pPr>
        <w:pStyle w:val="Bezmezer"/>
        <w:numPr>
          <w:ilvl w:val="0"/>
          <w:numId w:val="6"/>
        </w:numPr>
        <w:ind w:left="1418" w:hanging="353"/>
        <w:jc w:val="both"/>
        <w:rPr>
          <w:rFonts w:ascii="Arial" w:hAnsi="Arial" w:cs="Arial"/>
          <w:sz w:val="20"/>
          <w:szCs w:val="20"/>
        </w:rPr>
      </w:pPr>
      <w:r w:rsidRPr="008B1BB4">
        <w:rPr>
          <w:rFonts w:ascii="Arial" w:hAnsi="Arial" w:cs="Arial"/>
          <w:sz w:val="20"/>
          <w:szCs w:val="20"/>
        </w:rPr>
        <w:t>Chlazení laboratoří</w:t>
      </w:r>
    </w:p>
    <w:p w:rsidR="001821E6" w:rsidRPr="008B1BB4" w:rsidRDefault="001821E6" w:rsidP="00943409">
      <w:pPr>
        <w:pStyle w:val="Bezmezer"/>
        <w:numPr>
          <w:ilvl w:val="0"/>
          <w:numId w:val="2"/>
        </w:numPr>
        <w:jc w:val="both"/>
        <w:rPr>
          <w:rFonts w:ascii="Arial" w:hAnsi="Arial" w:cs="Arial"/>
          <w:sz w:val="20"/>
          <w:szCs w:val="20"/>
        </w:rPr>
      </w:pPr>
      <w:r w:rsidRPr="008B1BB4">
        <w:rPr>
          <w:rFonts w:ascii="Arial" w:hAnsi="Arial" w:cs="Arial"/>
          <w:sz w:val="20"/>
          <w:szCs w:val="20"/>
        </w:rPr>
        <w:t>Silnoproud</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Nové rozvody silnoproudu ZIS</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Nový rozvaděč + vyřešit zakrytí</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Výměna světelných armatur (diodové)</w:t>
      </w:r>
    </w:p>
    <w:p w:rsidR="001821E6" w:rsidRPr="008B1BB4" w:rsidRDefault="001821E6" w:rsidP="00943409">
      <w:pPr>
        <w:pStyle w:val="Bezmezer"/>
        <w:numPr>
          <w:ilvl w:val="0"/>
          <w:numId w:val="2"/>
        </w:numPr>
        <w:jc w:val="both"/>
        <w:rPr>
          <w:rFonts w:ascii="Arial" w:hAnsi="Arial" w:cs="Arial"/>
          <w:sz w:val="20"/>
          <w:szCs w:val="20"/>
        </w:rPr>
      </w:pPr>
      <w:r w:rsidRPr="008B1BB4">
        <w:rPr>
          <w:rFonts w:ascii="Arial" w:hAnsi="Arial" w:cs="Arial"/>
          <w:sz w:val="20"/>
          <w:szCs w:val="20"/>
        </w:rPr>
        <w:t xml:space="preserve">Slaboproud (SK, EPS, ERO, STA, </w:t>
      </w:r>
      <w:proofErr w:type="spellStart"/>
      <w:r w:rsidRPr="008B1BB4">
        <w:rPr>
          <w:rFonts w:ascii="Arial" w:hAnsi="Arial" w:cs="Arial"/>
          <w:sz w:val="20"/>
          <w:szCs w:val="20"/>
        </w:rPr>
        <w:t>MaR</w:t>
      </w:r>
      <w:proofErr w:type="spellEnd"/>
      <w:r w:rsidRPr="008B1BB4">
        <w:rPr>
          <w:rFonts w:ascii="Arial" w:hAnsi="Arial" w:cs="Arial"/>
          <w:sz w:val="20"/>
          <w:szCs w:val="20"/>
        </w:rPr>
        <w:t>)</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EPS dle požadavku PBŘS</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nová STA inspekční pokoj laborantů</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Nová SK pro. 20 x dvoj-zásuvka</w:t>
      </w:r>
    </w:p>
    <w:p w:rsidR="001821E6" w:rsidRPr="008B1BB4" w:rsidRDefault="001821E6" w:rsidP="00943409">
      <w:pPr>
        <w:pStyle w:val="Bezmezer"/>
        <w:numPr>
          <w:ilvl w:val="0"/>
          <w:numId w:val="6"/>
        </w:numPr>
        <w:ind w:left="1418"/>
        <w:jc w:val="both"/>
        <w:rPr>
          <w:rFonts w:ascii="Arial" w:hAnsi="Arial" w:cs="Arial"/>
          <w:sz w:val="20"/>
          <w:szCs w:val="20"/>
        </w:rPr>
      </w:pPr>
      <w:proofErr w:type="spellStart"/>
      <w:r w:rsidRPr="008B1BB4">
        <w:rPr>
          <w:rFonts w:ascii="Arial" w:hAnsi="Arial" w:cs="Arial"/>
          <w:sz w:val="20"/>
          <w:szCs w:val="20"/>
        </w:rPr>
        <w:t>Switch</w:t>
      </w:r>
      <w:proofErr w:type="spellEnd"/>
      <w:r w:rsidRPr="008B1BB4">
        <w:rPr>
          <w:rFonts w:ascii="Arial" w:hAnsi="Arial" w:cs="Arial"/>
          <w:sz w:val="20"/>
          <w:szCs w:val="20"/>
        </w:rPr>
        <w:t xml:space="preserve"> 48 portový</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Video vrátný + otvírání dveří na karty</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 xml:space="preserve">ERO pro </w:t>
      </w:r>
      <w:proofErr w:type="spellStart"/>
      <w:r w:rsidRPr="008B1BB4">
        <w:rPr>
          <w:rFonts w:ascii="Arial" w:hAnsi="Arial" w:cs="Arial"/>
          <w:sz w:val="20"/>
          <w:szCs w:val="20"/>
        </w:rPr>
        <w:t>selé</w:t>
      </w:r>
      <w:proofErr w:type="spellEnd"/>
      <w:r w:rsidRPr="008B1BB4">
        <w:rPr>
          <w:rFonts w:ascii="Arial" w:hAnsi="Arial" w:cs="Arial"/>
          <w:sz w:val="20"/>
          <w:szCs w:val="20"/>
        </w:rPr>
        <w:t xml:space="preserve"> laboratoře</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Projektant prověří, zda stávající zesilovač ERO výkonově vyhovuje, případně navrhne navýšení výkonu!.</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Měření a regulace pro VZT a toporní</w:t>
      </w:r>
    </w:p>
    <w:p w:rsidR="001821E6" w:rsidRPr="008B1BB4" w:rsidRDefault="001821E6" w:rsidP="00943409">
      <w:pPr>
        <w:pStyle w:val="Bezmezer"/>
        <w:numPr>
          <w:ilvl w:val="0"/>
          <w:numId w:val="2"/>
        </w:numPr>
        <w:jc w:val="both"/>
        <w:rPr>
          <w:rFonts w:ascii="Arial" w:hAnsi="Arial" w:cs="Arial"/>
          <w:sz w:val="20"/>
          <w:szCs w:val="20"/>
        </w:rPr>
      </w:pPr>
      <w:r w:rsidRPr="008B1BB4">
        <w:rPr>
          <w:rFonts w:ascii="Arial" w:hAnsi="Arial" w:cs="Arial"/>
          <w:sz w:val="20"/>
          <w:szCs w:val="20"/>
        </w:rPr>
        <w:t>VZT</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Zrekonstruovat větrání odběrové místnosti čekárny.</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 xml:space="preserve">Přizpůsobení VZT novým dispozicím </w:t>
      </w:r>
    </w:p>
    <w:p w:rsidR="001821E6" w:rsidRPr="008B1BB4" w:rsidRDefault="001821E6" w:rsidP="00943409">
      <w:pPr>
        <w:pStyle w:val="Bezmezer"/>
        <w:numPr>
          <w:ilvl w:val="0"/>
          <w:numId w:val="2"/>
        </w:numPr>
        <w:jc w:val="both"/>
        <w:rPr>
          <w:rFonts w:ascii="Arial" w:hAnsi="Arial" w:cs="Arial"/>
          <w:sz w:val="20"/>
          <w:szCs w:val="20"/>
        </w:rPr>
      </w:pPr>
      <w:r w:rsidRPr="008B1BB4">
        <w:rPr>
          <w:rFonts w:ascii="Arial" w:hAnsi="Arial" w:cs="Arial"/>
          <w:sz w:val="20"/>
          <w:szCs w:val="20"/>
        </w:rPr>
        <w:t>Lékařská technologie</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Navrhnout rozmístění nábytku a technologie dle nové dispozice</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 xml:space="preserve">příprava výrobní výkresové dokumentace nábytku vč. půdorysné a prostorové vizualizace rozmístění nábytku v jednotlivých místnostech, předložení k odsouhlasení investorem </w:t>
      </w:r>
    </w:p>
    <w:p w:rsidR="001821E6" w:rsidRPr="008B1BB4" w:rsidRDefault="001821E6" w:rsidP="00943409">
      <w:pPr>
        <w:pStyle w:val="Bezmezer"/>
        <w:numPr>
          <w:ilvl w:val="0"/>
          <w:numId w:val="6"/>
        </w:numPr>
        <w:ind w:left="1418"/>
        <w:jc w:val="both"/>
        <w:rPr>
          <w:rFonts w:ascii="Arial" w:hAnsi="Arial" w:cs="Arial"/>
          <w:sz w:val="20"/>
          <w:szCs w:val="20"/>
        </w:rPr>
      </w:pPr>
      <w:r w:rsidRPr="008B1BB4">
        <w:rPr>
          <w:rFonts w:ascii="Arial" w:hAnsi="Arial" w:cs="Arial"/>
          <w:sz w:val="20"/>
          <w:szCs w:val="20"/>
        </w:rPr>
        <w:t>Oddělit rozpočet a VV od celkového rozpočtů</w:t>
      </w:r>
    </w:p>
    <w:p w:rsidR="001821E6" w:rsidRPr="008B1BB4" w:rsidRDefault="001821E6" w:rsidP="00943409">
      <w:pPr>
        <w:pStyle w:val="Bezmezer"/>
        <w:jc w:val="both"/>
        <w:rPr>
          <w:rFonts w:ascii="Arial" w:hAnsi="Arial" w:cs="Arial"/>
          <w:sz w:val="20"/>
          <w:szCs w:val="20"/>
        </w:rPr>
      </w:pPr>
    </w:p>
    <w:p w:rsidR="001821E6" w:rsidRPr="008B1BB4" w:rsidRDefault="001821E6" w:rsidP="00943409">
      <w:pPr>
        <w:pStyle w:val="Bezmezer"/>
        <w:jc w:val="both"/>
        <w:rPr>
          <w:rFonts w:ascii="Arial" w:hAnsi="Arial" w:cs="Arial"/>
          <w:sz w:val="20"/>
          <w:szCs w:val="20"/>
        </w:rPr>
      </w:pPr>
    </w:p>
    <w:p w:rsidR="001821E6" w:rsidRPr="008B1BB4" w:rsidRDefault="001821E6" w:rsidP="00943409">
      <w:pPr>
        <w:pStyle w:val="Bezmezer"/>
        <w:jc w:val="both"/>
        <w:rPr>
          <w:rFonts w:ascii="Arial" w:hAnsi="Arial" w:cs="Arial"/>
          <w:sz w:val="20"/>
          <w:szCs w:val="20"/>
        </w:rPr>
      </w:pPr>
    </w:p>
    <w:p w:rsidR="001B0634" w:rsidRPr="008B1BB4" w:rsidRDefault="001821E6" w:rsidP="001821E6">
      <w:pPr>
        <w:pStyle w:val="Bezmezer"/>
        <w:rPr>
          <w:rFonts w:ascii="Arial" w:hAnsi="Arial" w:cs="Arial"/>
          <w:sz w:val="20"/>
          <w:szCs w:val="20"/>
        </w:rPr>
      </w:pPr>
      <w:proofErr w:type="gramStart"/>
      <w:r w:rsidRPr="008B1BB4">
        <w:rPr>
          <w:rFonts w:ascii="Arial" w:hAnsi="Arial" w:cs="Arial"/>
          <w:sz w:val="20"/>
          <w:szCs w:val="20"/>
        </w:rPr>
        <w:t>03.04.2025</w:t>
      </w:r>
      <w:proofErr w:type="gramEnd"/>
    </w:p>
    <w:sectPr w:rsidR="001B0634" w:rsidRPr="008B1BB4" w:rsidSect="00943409">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B3EF3"/>
    <w:multiLevelType w:val="hybridMultilevel"/>
    <w:tmpl w:val="5A921868"/>
    <w:lvl w:ilvl="0" w:tplc="C1EAD05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D64B96"/>
    <w:multiLevelType w:val="hybridMultilevel"/>
    <w:tmpl w:val="17E6314C"/>
    <w:lvl w:ilvl="0" w:tplc="90DCB7A0">
      <w:start w:val="3"/>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5F0CE2"/>
    <w:multiLevelType w:val="hybridMultilevel"/>
    <w:tmpl w:val="DF263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0EC68B9"/>
    <w:multiLevelType w:val="hybridMultilevel"/>
    <w:tmpl w:val="798EDBD2"/>
    <w:lvl w:ilvl="0" w:tplc="90DCB7A0">
      <w:start w:val="3"/>
      <w:numFmt w:val="bullet"/>
      <w:lvlText w:val="-"/>
      <w:lvlJc w:val="left"/>
      <w:pPr>
        <w:ind w:left="1815" w:hanging="750"/>
      </w:pPr>
      <w:rPr>
        <w:rFonts w:ascii="Calibri" w:eastAsiaTheme="minorHAnsi" w:hAnsi="Calibri" w:cs="Calibri"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449F475F"/>
    <w:multiLevelType w:val="hybridMultilevel"/>
    <w:tmpl w:val="9F76FD8A"/>
    <w:lvl w:ilvl="0" w:tplc="90DCB7A0">
      <w:start w:val="3"/>
      <w:numFmt w:val="bullet"/>
      <w:lvlText w:val="-"/>
      <w:lvlJc w:val="left"/>
      <w:pPr>
        <w:ind w:left="1470" w:hanging="75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EB674B6"/>
    <w:multiLevelType w:val="hybridMultilevel"/>
    <w:tmpl w:val="8932A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7556D9"/>
    <w:multiLevelType w:val="hybridMultilevel"/>
    <w:tmpl w:val="0592EEA6"/>
    <w:lvl w:ilvl="0" w:tplc="90DCB7A0">
      <w:start w:val="3"/>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3C86877"/>
    <w:multiLevelType w:val="hybridMultilevel"/>
    <w:tmpl w:val="EA8694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6712C9"/>
    <w:multiLevelType w:val="hybridMultilevel"/>
    <w:tmpl w:val="A7165FD6"/>
    <w:lvl w:ilvl="0" w:tplc="90DCB7A0">
      <w:start w:val="3"/>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5D8537A"/>
    <w:multiLevelType w:val="hybridMultilevel"/>
    <w:tmpl w:val="60D2CEDE"/>
    <w:lvl w:ilvl="0" w:tplc="90DCB7A0">
      <w:start w:val="3"/>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0EB2FF3"/>
    <w:multiLevelType w:val="hybridMultilevel"/>
    <w:tmpl w:val="6BCABEC8"/>
    <w:lvl w:ilvl="0" w:tplc="90DCB7A0">
      <w:start w:val="3"/>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1"/>
  </w:num>
  <w:num w:numId="6">
    <w:abstractNumId w:val="3"/>
  </w:num>
  <w:num w:numId="7">
    <w:abstractNumId w:val="4"/>
  </w:num>
  <w:num w:numId="8">
    <w:abstractNumId w:val="9"/>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E6"/>
    <w:rsid w:val="000F591F"/>
    <w:rsid w:val="001821E6"/>
    <w:rsid w:val="001B0634"/>
    <w:rsid w:val="007E3B4C"/>
    <w:rsid w:val="008B1BB4"/>
    <w:rsid w:val="00943409"/>
    <w:rsid w:val="00D92920"/>
    <w:rsid w:val="00E973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5DCD0-D97E-45E6-B6D5-1552C36A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82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323</Words>
  <Characters>1906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101152</dc:creator>
  <cp:keywords/>
  <dc:description/>
  <cp:lastModifiedBy>101152</cp:lastModifiedBy>
  <cp:revision>5</cp:revision>
  <cp:lastPrinted>2025-04-03T12:33:00Z</cp:lastPrinted>
  <dcterms:created xsi:type="dcterms:W3CDTF">2025-04-03T12:14:00Z</dcterms:created>
  <dcterms:modified xsi:type="dcterms:W3CDTF">2025-04-04T09:03:00Z</dcterms:modified>
</cp:coreProperties>
</file>