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rsidR="009601F0" w:rsidRPr="00BC4687" w:rsidRDefault="00464C4C" w:rsidP="001954CF">
      <w:pPr>
        <w:numPr>
          <w:ilvl w:val="0"/>
          <w:numId w:val="9"/>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Siebert</w:t>
      </w:r>
      <w:r w:rsidR="00402976" w:rsidRPr="00BC4687">
        <w:rPr>
          <w:rFonts w:ascii="Tahoma" w:hAnsi="Tahoma" w:cs="Tahoma"/>
          <w:sz w:val="20"/>
          <w:szCs w:val="22"/>
        </w:rPr>
        <w:t>em</w:t>
      </w:r>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D70FCB" w:rsidRPr="00BC4687">
        <w:rPr>
          <w:rFonts w:ascii="Tahoma" w:hAnsi="Tahoma" w:cs="Tahoma"/>
          <w:sz w:val="20"/>
          <w:szCs w:val="22"/>
        </w:rPr>
        <w:t>19-0633950217/0100</w:t>
      </w:r>
    </w:p>
    <w:p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BC4687" w:rsidRDefault="00705BC6" w:rsidP="001954CF">
      <w:pPr>
        <w:numPr>
          <w:ilvl w:val="0"/>
          <w:numId w:val="9"/>
        </w:numPr>
        <w:tabs>
          <w:tab w:val="clear" w:pos="720"/>
          <w:tab w:val="num" w:pos="426"/>
        </w:tabs>
        <w:spacing w:before="240" w:after="120" w:line="276" w:lineRule="auto"/>
        <w:ind w:left="425" w:hanging="425"/>
        <w:rPr>
          <w:rFonts w:ascii="Tahoma" w:hAnsi="Tahoma" w:cs="Tahoma"/>
          <w:b/>
          <w:bCs/>
          <w:sz w:val="20"/>
          <w:szCs w:val="22"/>
        </w:rPr>
      </w:pPr>
      <w:r w:rsidRPr="00BC4687">
        <w:rPr>
          <w:rFonts w:ascii="Tahoma" w:hAnsi="Tahoma" w:cs="Tahoma"/>
          <w:b/>
          <w:sz w:val="20"/>
          <w:szCs w:val="22"/>
          <w:highlight w:val="yellow"/>
        </w:rPr>
        <w:t>………………………….</w:t>
      </w:r>
      <w:r w:rsidRPr="00BC4687">
        <w:rPr>
          <w:rFonts w:ascii="Tahoma" w:hAnsi="Tahoma" w:cs="Tahoma"/>
          <w:b/>
          <w:sz w:val="20"/>
          <w:szCs w:val="22"/>
        </w:rPr>
        <w:t xml:space="preserve"> </w:t>
      </w:r>
      <w:r w:rsidRPr="00BC4687">
        <w:rPr>
          <w:rFonts w:ascii="Tahoma" w:hAnsi="Tahoma" w:cs="Tahoma"/>
          <w:bCs/>
          <w:color w:val="FF0000"/>
          <w:sz w:val="20"/>
          <w:szCs w:val="22"/>
        </w:rPr>
        <w:t>(</w:t>
      </w:r>
      <w:r w:rsidRPr="00BC4687">
        <w:rPr>
          <w:rFonts w:ascii="Tahoma" w:hAnsi="Tahoma" w:cs="Tahoma"/>
          <w:i/>
          <w:iCs/>
          <w:color w:val="FF0000"/>
          <w:sz w:val="20"/>
          <w:szCs w:val="20"/>
          <w:lang w:val="pt-BR"/>
        </w:rPr>
        <w:t>název společnosti doplní účastník ZŘ)</w:t>
      </w:r>
    </w:p>
    <w:p w:rsidR="009601F0" w:rsidRPr="00BC4687"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s</w:t>
      </w:r>
      <w:r w:rsidR="009601F0" w:rsidRPr="00BC4687">
        <w:rPr>
          <w:rFonts w:ascii="Tahoma" w:hAnsi="Tahoma" w:cs="Tahoma"/>
          <w:sz w:val="20"/>
          <w:szCs w:val="22"/>
          <w:highlight w:val="yellow"/>
        </w:rPr>
        <w:t>e sídlem:</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z</w:t>
      </w:r>
      <w:r w:rsidR="009601F0" w:rsidRPr="00BC4687">
        <w:rPr>
          <w:rFonts w:ascii="Tahoma" w:hAnsi="Tahoma" w:cs="Tahoma"/>
          <w:sz w:val="20"/>
          <w:szCs w:val="22"/>
          <w:highlight w:val="yellow"/>
        </w:rPr>
        <w:t>astoupena</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ab/>
      </w:r>
      <w:bookmarkStart w:id="0" w:name="_Hlk82416148"/>
      <w:r w:rsidR="009601F0" w:rsidRPr="00BC4687">
        <w:rPr>
          <w:rFonts w:ascii="Tahoma" w:hAnsi="Tahoma" w:cs="Tahoma"/>
          <w:sz w:val="20"/>
          <w:szCs w:val="22"/>
          <w:highlight w:val="yellow"/>
        </w:rPr>
        <w:t>ve věcech smluvních</w:t>
      </w:r>
      <w:bookmarkEnd w:id="0"/>
      <w:r w:rsidRPr="00BC4687">
        <w:rPr>
          <w:rFonts w:ascii="Tahoma" w:hAnsi="Tahoma" w:cs="Tahoma"/>
          <w:sz w:val="20"/>
          <w:szCs w:val="22"/>
          <w:highlight w:val="yellow"/>
        </w:rPr>
        <w:t>:</w:t>
      </w:r>
      <w:r w:rsidR="009601F0" w:rsidRPr="00BC4687">
        <w:rPr>
          <w:rFonts w:ascii="Tahoma" w:hAnsi="Tahoma" w:cs="Tahoma"/>
          <w:sz w:val="20"/>
          <w:szCs w:val="22"/>
          <w:highlight w:val="yellow"/>
        </w:rPr>
        <w:tab/>
      </w:r>
    </w:p>
    <w:p w:rsidR="009601F0" w:rsidRPr="00BC46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IČ</w:t>
      </w:r>
      <w:r w:rsidR="006D6317" w:rsidRPr="00BC4687">
        <w:rPr>
          <w:rFonts w:ascii="Tahoma" w:hAnsi="Tahoma" w:cs="Tahoma"/>
          <w:sz w:val="20"/>
          <w:szCs w:val="22"/>
          <w:highlight w:val="yellow"/>
        </w:rPr>
        <w:t>O</w:t>
      </w:r>
      <w:r w:rsidRPr="00BC4687">
        <w:rPr>
          <w:rFonts w:ascii="Tahoma" w:hAnsi="Tahoma" w:cs="Tahoma"/>
          <w:sz w:val="20"/>
          <w:szCs w:val="22"/>
          <w:highlight w:val="yellow"/>
        </w:rPr>
        <w:t>:</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rsidR="009601F0" w:rsidRPr="00BC46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DIČ:</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rsidR="0051200A"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b</w:t>
      </w:r>
      <w:r w:rsidR="009601F0" w:rsidRPr="00BC4687">
        <w:rPr>
          <w:rFonts w:ascii="Tahoma" w:hAnsi="Tahoma" w:cs="Tahoma"/>
          <w:sz w:val="20"/>
          <w:szCs w:val="22"/>
          <w:highlight w:val="yellow"/>
        </w:rPr>
        <w:t>ankovní spojení:</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č</w:t>
      </w:r>
      <w:r w:rsidR="009601F0" w:rsidRPr="00BC4687">
        <w:rPr>
          <w:rFonts w:ascii="Tahoma" w:hAnsi="Tahoma" w:cs="Tahoma"/>
          <w:sz w:val="20"/>
          <w:szCs w:val="22"/>
          <w:highlight w:val="yellow"/>
        </w:rPr>
        <w:t>íslo účtu:</w:t>
      </w:r>
      <w:r w:rsidR="009601F0" w:rsidRPr="00BC4687">
        <w:rPr>
          <w:rFonts w:ascii="Tahoma" w:hAnsi="Tahoma" w:cs="Tahoma"/>
          <w:sz w:val="20"/>
          <w:szCs w:val="22"/>
          <w:highlight w:val="yellow"/>
        </w:rPr>
        <w:tab/>
      </w:r>
    </w:p>
    <w:p w:rsidR="000E5A82" w:rsidRPr="00BC4687"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BC4687">
        <w:rPr>
          <w:rFonts w:ascii="Tahoma" w:hAnsi="Tahoma" w:cs="Tahoma"/>
          <w:sz w:val="20"/>
          <w:szCs w:val="22"/>
          <w:highlight w:val="yellow"/>
        </w:rPr>
        <w:t xml:space="preserve">Zapsána v obchodním rejstříku vedeném </w:t>
      </w:r>
      <w:r w:rsidR="000E5A82" w:rsidRPr="00BC4687">
        <w:rPr>
          <w:rFonts w:ascii="Tahoma" w:hAnsi="Tahoma" w:cs="Tahoma"/>
          <w:iCs/>
          <w:sz w:val="20"/>
          <w:szCs w:val="20"/>
          <w:highlight w:val="yellow"/>
        </w:rPr>
        <w:t>……………… soudem v ……………, oddíl …, vložka …</w:t>
      </w:r>
    </w:p>
    <w:p w:rsidR="0075678D"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rsidR="00DB69A9" w:rsidRPr="00BC4687" w:rsidRDefault="00A20AF9"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rsidR="00EB5B24" w:rsidRPr="00BC4687" w:rsidRDefault="00EB5B24"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BC4687" w:rsidRDefault="00C7289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lastRenderedPageBreak/>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rsidR="00EB5B24" w:rsidRPr="00BC4687" w:rsidRDefault="00EB5B2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rsidR="00EB5B24" w:rsidRPr="00BC4687" w:rsidRDefault="00E35A85"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rsidR="006E240A" w:rsidRPr="00BC4687" w:rsidRDefault="006E240A"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rsidR="00066D69"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w:t>
      </w:r>
      <w:r w:rsidR="00BF78B2">
        <w:rPr>
          <w:rFonts w:ascii="Tahoma" w:hAnsi="Tahoma" w:cs="Tahoma"/>
          <w:b/>
          <w:sz w:val="20"/>
          <w:szCs w:val="20"/>
        </w:rPr>
        <w:t xml:space="preserve">netkaných textilií </w:t>
      </w:r>
      <w:r w:rsidR="00D34782">
        <w:rPr>
          <w:rFonts w:ascii="Tahoma" w:hAnsi="Tahoma" w:cs="Tahoma"/>
          <w:b/>
          <w:sz w:val="20"/>
          <w:szCs w:val="20"/>
        </w:rPr>
        <w:t>pro SNO</w:t>
      </w:r>
      <w:r w:rsidR="00ED43E7">
        <w:rPr>
          <w:rFonts w:ascii="Tahoma" w:hAnsi="Tahoma" w:cs="Tahoma"/>
          <w:b/>
          <w:sz w:val="20"/>
          <w:szCs w:val="20"/>
        </w:rPr>
        <w:t>“</w:t>
      </w:r>
      <w:r w:rsidRPr="00BC4687">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rsidR="00726A61" w:rsidRPr="00726A61" w:rsidRDefault="004B316C" w:rsidP="001954CF">
      <w:pPr>
        <w:widowControl w:val="0"/>
        <w:numPr>
          <w:ilvl w:val="0"/>
          <w:numId w:val="15"/>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kompletních opakovaných dodávek </w:t>
      </w:r>
      <w:r w:rsidR="00D34782">
        <w:rPr>
          <w:rFonts w:ascii="Tahoma" w:eastAsia="SimSun" w:hAnsi="Tahoma" w:cs="Tahoma"/>
          <w:kern w:val="2"/>
          <w:sz w:val="20"/>
          <w:szCs w:val="20"/>
          <w:lang w:eastAsia="hi-IN" w:bidi="hi-IN"/>
        </w:rPr>
        <w:t>netkaných textilií</w:t>
      </w:r>
      <w:r w:rsidR="00726A61">
        <w:rPr>
          <w:rFonts w:ascii="Tahoma" w:eastAsia="SimSun" w:hAnsi="Tahoma" w:cs="Tahoma"/>
          <w:kern w:val="2"/>
          <w:sz w:val="20"/>
          <w:szCs w:val="20"/>
          <w:lang w:eastAsia="hi-IN" w:bidi="hi-IN"/>
        </w:rPr>
        <w:t>, dle aktuálních potřeb zadavatele.</w:t>
      </w:r>
    </w:p>
    <w:p w:rsidR="004B316C"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rsidR="000241C5"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bookmarkStart w:id="3" w:name="_GoBack"/>
      <w:bookmarkEnd w:id="3"/>
    </w:p>
    <w:p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rsidR="00E956C1" w:rsidRPr="008154F6"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trike/>
          <w:sz w:val="20"/>
          <w:szCs w:val="20"/>
          <w:highlight w:val="green"/>
        </w:rPr>
      </w:pPr>
      <w:r w:rsidRPr="00BC4687">
        <w:rPr>
          <w:rFonts w:ascii="Tahoma" w:hAnsi="Tahoma" w:cs="Tahoma"/>
          <w:sz w:val="20"/>
          <w:szCs w:val="20"/>
        </w:rPr>
        <w:t>Kupní cena je stanovena dle nabídky prodávajícího v rámci veřejné zakázky. Prodávající garantuje kupujícímu ceny</w:t>
      </w:r>
      <w:r w:rsidR="008154F6">
        <w:rPr>
          <w:rFonts w:ascii="Tahoma" w:hAnsi="Tahoma" w:cs="Tahoma"/>
          <w:sz w:val="20"/>
          <w:szCs w:val="20"/>
        </w:rPr>
        <w:t>:</w:t>
      </w:r>
      <w:r w:rsidRPr="00BC4687">
        <w:rPr>
          <w:rFonts w:ascii="Tahoma" w:hAnsi="Tahoma" w:cs="Tahoma"/>
          <w:sz w:val="20"/>
          <w:szCs w:val="20"/>
        </w:rPr>
        <w:t xml:space="preserve"> </w:t>
      </w:r>
      <w:r w:rsidRPr="008154F6">
        <w:rPr>
          <w:rFonts w:ascii="Tahoma" w:hAnsi="Tahoma" w:cs="Tahoma"/>
          <w:strike/>
          <w:sz w:val="20"/>
          <w:szCs w:val="20"/>
          <w:highlight w:val="green"/>
        </w:rPr>
        <w:t>za předmět plnění uvedené a přesně rozepsané v</w:t>
      </w:r>
      <w:r w:rsidR="00FF49A0" w:rsidRPr="008154F6">
        <w:rPr>
          <w:rFonts w:ascii="Tahoma" w:hAnsi="Tahoma" w:cs="Tahoma"/>
          <w:strike/>
          <w:sz w:val="20"/>
          <w:szCs w:val="20"/>
          <w:highlight w:val="green"/>
        </w:rPr>
        <w:t> </w:t>
      </w:r>
      <w:r w:rsidRPr="008154F6">
        <w:rPr>
          <w:rFonts w:ascii="Tahoma" w:hAnsi="Tahoma" w:cs="Tahoma"/>
          <w:strike/>
          <w:sz w:val="20"/>
          <w:szCs w:val="20"/>
          <w:highlight w:val="green"/>
        </w:rPr>
        <w:t>příloze</w:t>
      </w:r>
      <w:r w:rsidR="00FF49A0" w:rsidRPr="008154F6">
        <w:rPr>
          <w:rFonts w:ascii="Tahoma" w:hAnsi="Tahoma" w:cs="Tahoma"/>
          <w:strike/>
          <w:sz w:val="20"/>
          <w:szCs w:val="20"/>
          <w:highlight w:val="green"/>
        </w:rPr>
        <w:t xml:space="preserve"> č. 1</w:t>
      </w:r>
      <w:r w:rsidRPr="008154F6">
        <w:rPr>
          <w:rFonts w:ascii="Tahoma" w:hAnsi="Tahoma" w:cs="Tahoma"/>
          <w:strike/>
          <w:sz w:val="20"/>
          <w:szCs w:val="20"/>
          <w:highlight w:val="green"/>
        </w:rPr>
        <w:t xml:space="preserve"> této smlouvy.</w:t>
      </w:r>
    </w:p>
    <w:tbl>
      <w:tblPr>
        <w:tblW w:w="8364" w:type="dxa"/>
        <w:tblInd w:w="637" w:type="dxa"/>
        <w:tblCellMar>
          <w:left w:w="70" w:type="dxa"/>
          <w:right w:w="70" w:type="dxa"/>
        </w:tblCellMar>
        <w:tblLook w:val="04A0" w:firstRow="1" w:lastRow="0" w:firstColumn="1" w:lastColumn="0" w:noHBand="0" w:noVBand="1"/>
      </w:tblPr>
      <w:tblGrid>
        <w:gridCol w:w="3544"/>
        <w:gridCol w:w="1559"/>
        <w:gridCol w:w="1171"/>
        <w:gridCol w:w="573"/>
        <w:gridCol w:w="1517"/>
      </w:tblGrid>
      <w:tr w:rsidR="008154F6" w:rsidTr="008154F6">
        <w:trPr>
          <w:trHeight w:val="585"/>
        </w:trPr>
        <w:tc>
          <w:tcPr>
            <w:tcW w:w="3544"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rsidR="008154F6" w:rsidRDefault="008154F6">
            <w:pPr>
              <w:rPr>
                <w:rFonts w:ascii="Verdana" w:hAnsi="Verdana" w:cs="Calibri"/>
                <w:b/>
                <w:bCs/>
                <w:color w:val="000000"/>
                <w:sz w:val="18"/>
                <w:szCs w:val="18"/>
              </w:rPr>
            </w:pPr>
            <w:r>
              <w:rPr>
                <w:rFonts w:ascii="Verdana" w:hAnsi="Verdana" w:cs="Calibri"/>
                <w:b/>
                <w:bCs/>
                <w:color w:val="000000"/>
                <w:sz w:val="18"/>
                <w:szCs w:val="18"/>
              </w:rPr>
              <w:t>Druh, rozměr</w:t>
            </w:r>
          </w:p>
        </w:tc>
        <w:tc>
          <w:tcPr>
            <w:tcW w:w="1559"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rsidR="008154F6" w:rsidRDefault="008154F6">
            <w:pPr>
              <w:jc w:val="center"/>
              <w:rPr>
                <w:rFonts w:ascii="Verdana" w:hAnsi="Verdana" w:cs="Calibri"/>
                <w:b/>
                <w:bCs/>
                <w:color w:val="000000"/>
                <w:sz w:val="18"/>
                <w:szCs w:val="18"/>
              </w:rPr>
            </w:pPr>
            <w:r>
              <w:rPr>
                <w:rFonts w:ascii="Verdana" w:hAnsi="Verdana" w:cs="Calibri"/>
                <w:b/>
                <w:bCs/>
                <w:color w:val="000000"/>
                <w:sz w:val="18"/>
                <w:szCs w:val="18"/>
              </w:rPr>
              <w:t>MJ</w:t>
            </w:r>
          </w:p>
        </w:tc>
        <w:tc>
          <w:tcPr>
            <w:tcW w:w="1377"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8154F6" w:rsidRDefault="008154F6">
            <w:pPr>
              <w:jc w:val="center"/>
              <w:rPr>
                <w:rFonts w:ascii="Verdana" w:hAnsi="Verdana" w:cs="Calibri"/>
                <w:b/>
                <w:bCs/>
                <w:color w:val="000000"/>
                <w:sz w:val="18"/>
                <w:szCs w:val="18"/>
              </w:rPr>
            </w:pPr>
            <w:r>
              <w:rPr>
                <w:rFonts w:ascii="Verdana" w:hAnsi="Verdana" w:cs="Calibri"/>
                <w:b/>
                <w:bCs/>
                <w:color w:val="000000"/>
                <w:sz w:val="18"/>
                <w:szCs w:val="18"/>
              </w:rPr>
              <w:t>cena v Kč bez DPH /MJ</w:t>
            </w:r>
          </w:p>
        </w:tc>
        <w:tc>
          <w:tcPr>
            <w:tcW w:w="16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8154F6" w:rsidRDefault="008154F6">
            <w:pPr>
              <w:rPr>
                <w:rFonts w:ascii="Verdana" w:hAnsi="Verdana" w:cs="Calibri"/>
                <w:b/>
                <w:bCs/>
                <w:color w:val="000000"/>
                <w:sz w:val="18"/>
                <w:szCs w:val="18"/>
              </w:rPr>
            </w:pPr>
            <w:r>
              <w:rPr>
                <w:rFonts w:ascii="Verdana" w:hAnsi="Verdana" w:cs="Calibri"/>
                <w:b/>
                <w:bCs/>
                <w:color w:val="000000"/>
                <w:sz w:val="18"/>
                <w:szCs w:val="18"/>
              </w:rPr>
              <w:t>DPH v %</w:t>
            </w:r>
          </w:p>
        </w:tc>
        <w:tc>
          <w:tcPr>
            <w:tcW w:w="1721"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8154F6" w:rsidRDefault="008154F6">
            <w:pPr>
              <w:jc w:val="center"/>
              <w:rPr>
                <w:rFonts w:ascii="Verdana" w:hAnsi="Verdana" w:cs="Calibri"/>
                <w:b/>
                <w:bCs/>
                <w:color w:val="000000"/>
                <w:sz w:val="18"/>
                <w:szCs w:val="18"/>
              </w:rPr>
            </w:pPr>
            <w:r>
              <w:rPr>
                <w:rFonts w:ascii="Verdana" w:hAnsi="Verdana" w:cs="Calibri"/>
                <w:b/>
                <w:bCs/>
                <w:color w:val="000000"/>
                <w:sz w:val="18"/>
                <w:szCs w:val="18"/>
              </w:rPr>
              <w:t>cena v Kč vč. DPH/MJ</w:t>
            </w:r>
          </w:p>
        </w:tc>
      </w:tr>
      <w:tr w:rsidR="008154F6" w:rsidTr="008154F6">
        <w:trPr>
          <w:trHeight w:val="443"/>
        </w:trPr>
        <w:tc>
          <w:tcPr>
            <w:tcW w:w="3544" w:type="dxa"/>
            <w:vMerge/>
            <w:tcBorders>
              <w:top w:val="single" w:sz="8" w:space="0" w:color="auto"/>
              <w:left w:val="single" w:sz="8" w:space="0" w:color="auto"/>
              <w:bottom w:val="single" w:sz="8" w:space="0" w:color="000000"/>
              <w:right w:val="single" w:sz="4" w:space="0" w:color="auto"/>
            </w:tcBorders>
            <w:vAlign w:val="center"/>
            <w:hideMark/>
          </w:tcPr>
          <w:p w:rsidR="008154F6" w:rsidRDefault="008154F6">
            <w:pPr>
              <w:rPr>
                <w:rFonts w:ascii="Verdana" w:hAnsi="Verdana" w:cs="Calibri"/>
                <w:b/>
                <w:bCs/>
                <w:color w:val="000000"/>
                <w:sz w:val="18"/>
                <w:szCs w:val="18"/>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8154F6" w:rsidRDefault="008154F6">
            <w:pPr>
              <w:rPr>
                <w:rFonts w:ascii="Verdana" w:hAnsi="Verdana" w:cs="Calibri"/>
                <w:b/>
                <w:bCs/>
                <w:color w:val="000000"/>
                <w:sz w:val="18"/>
                <w:szCs w:val="18"/>
              </w:rPr>
            </w:pPr>
          </w:p>
        </w:tc>
        <w:tc>
          <w:tcPr>
            <w:tcW w:w="1377" w:type="dxa"/>
            <w:vMerge/>
            <w:tcBorders>
              <w:top w:val="single" w:sz="8" w:space="0" w:color="auto"/>
              <w:left w:val="single" w:sz="4" w:space="0" w:color="auto"/>
              <w:bottom w:val="single" w:sz="8" w:space="0" w:color="000000"/>
              <w:right w:val="single" w:sz="4" w:space="0" w:color="auto"/>
            </w:tcBorders>
            <w:vAlign w:val="center"/>
            <w:hideMark/>
          </w:tcPr>
          <w:p w:rsidR="008154F6" w:rsidRDefault="008154F6">
            <w:pPr>
              <w:rPr>
                <w:rFonts w:ascii="Verdana" w:hAnsi="Verdana" w:cs="Calibri"/>
                <w:b/>
                <w:bCs/>
                <w:color w:val="000000"/>
                <w:sz w:val="18"/>
                <w:szCs w:val="18"/>
              </w:rPr>
            </w:pPr>
          </w:p>
        </w:tc>
        <w:tc>
          <w:tcPr>
            <w:tcW w:w="163" w:type="dxa"/>
            <w:vMerge/>
            <w:tcBorders>
              <w:top w:val="single" w:sz="8" w:space="0" w:color="auto"/>
              <w:left w:val="single" w:sz="4" w:space="0" w:color="auto"/>
              <w:bottom w:val="single" w:sz="8" w:space="0" w:color="000000"/>
              <w:right w:val="single" w:sz="4" w:space="0" w:color="auto"/>
            </w:tcBorders>
            <w:vAlign w:val="center"/>
            <w:hideMark/>
          </w:tcPr>
          <w:p w:rsidR="008154F6" w:rsidRDefault="008154F6">
            <w:pPr>
              <w:rPr>
                <w:rFonts w:ascii="Verdana" w:hAnsi="Verdana" w:cs="Calibri"/>
                <w:b/>
                <w:bCs/>
                <w:color w:val="000000"/>
                <w:sz w:val="18"/>
                <w:szCs w:val="18"/>
              </w:rPr>
            </w:pPr>
          </w:p>
        </w:tc>
        <w:tc>
          <w:tcPr>
            <w:tcW w:w="1721" w:type="dxa"/>
            <w:vMerge/>
            <w:tcBorders>
              <w:top w:val="single" w:sz="8" w:space="0" w:color="auto"/>
              <w:left w:val="single" w:sz="4" w:space="0" w:color="auto"/>
              <w:bottom w:val="single" w:sz="8" w:space="0" w:color="000000"/>
              <w:right w:val="single" w:sz="4" w:space="0" w:color="auto"/>
            </w:tcBorders>
            <w:vAlign w:val="center"/>
            <w:hideMark/>
          </w:tcPr>
          <w:p w:rsidR="008154F6" w:rsidRDefault="008154F6">
            <w:pPr>
              <w:rPr>
                <w:rFonts w:ascii="Verdana" w:hAnsi="Verdana" w:cs="Calibri"/>
                <w:b/>
                <w:bCs/>
                <w:color w:val="000000"/>
                <w:sz w:val="18"/>
                <w:szCs w:val="18"/>
              </w:rPr>
            </w:pPr>
          </w:p>
        </w:tc>
      </w:tr>
      <w:tr w:rsidR="008154F6" w:rsidTr="008154F6">
        <w:trPr>
          <w:trHeight w:val="366"/>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8154F6" w:rsidRDefault="008154F6">
            <w:pPr>
              <w:rPr>
                <w:rFonts w:ascii="Verdana" w:hAnsi="Verdana" w:cs="Calibri"/>
                <w:b/>
                <w:bCs/>
                <w:color w:val="000000"/>
                <w:sz w:val="18"/>
                <w:szCs w:val="18"/>
              </w:rPr>
            </w:pPr>
            <w:r>
              <w:rPr>
                <w:rFonts w:ascii="Verdana" w:hAnsi="Verdana" w:cs="Calibri"/>
                <w:b/>
                <w:bCs/>
                <w:color w:val="000000"/>
                <w:sz w:val="18"/>
                <w:szCs w:val="18"/>
              </w:rPr>
              <w:t xml:space="preserve">Role cca 0,50 m x </w:t>
            </w:r>
            <w:r w:rsidRPr="00DA3E3E">
              <w:rPr>
                <w:rFonts w:ascii="Verdana" w:hAnsi="Verdana" w:cs="Calibri"/>
                <w:b/>
                <w:bCs/>
                <w:color w:val="000000"/>
                <w:sz w:val="18"/>
                <w:szCs w:val="18"/>
                <w:highlight w:val="yellow"/>
              </w:rPr>
              <w:t>300 m</w:t>
            </w:r>
          </w:p>
        </w:tc>
        <w:tc>
          <w:tcPr>
            <w:tcW w:w="1559" w:type="dxa"/>
            <w:tcBorders>
              <w:top w:val="nil"/>
              <w:left w:val="nil"/>
              <w:bottom w:val="single" w:sz="4" w:space="0" w:color="auto"/>
              <w:right w:val="single" w:sz="4" w:space="0" w:color="auto"/>
            </w:tcBorders>
            <w:shd w:val="clear" w:color="auto" w:fill="auto"/>
            <w:vAlign w:val="center"/>
            <w:hideMark/>
          </w:tcPr>
          <w:p w:rsidR="008154F6" w:rsidRDefault="008154F6">
            <w:pPr>
              <w:jc w:val="center"/>
              <w:rPr>
                <w:rFonts w:ascii="Verdana" w:hAnsi="Verdana" w:cs="Calibri"/>
                <w:color w:val="000000"/>
                <w:sz w:val="18"/>
                <w:szCs w:val="18"/>
              </w:rPr>
            </w:pPr>
            <w:r>
              <w:rPr>
                <w:rFonts w:ascii="Verdana" w:hAnsi="Verdana" w:cs="Calibri"/>
                <w:color w:val="000000"/>
                <w:sz w:val="18"/>
                <w:szCs w:val="18"/>
              </w:rPr>
              <w:t>role</w:t>
            </w:r>
          </w:p>
        </w:tc>
        <w:tc>
          <w:tcPr>
            <w:tcW w:w="1377"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63"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721"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r>
      <w:tr w:rsidR="008154F6" w:rsidTr="008154F6">
        <w:trPr>
          <w:trHeight w:val="366"/>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8154F6" w:rsidRDefault="008154F6">
            <w:pPr>
              <w:rPr>
                <w:rFonts w:ascii="Verdana" w:hAnsi="Verdana" w:cs="Calibri"/>
                <w:b/>
                <w:bCs/>
                <w:color w:val="000000"/>
                <w:sz w:val="18"/>
                <w:szCs w:val="18"/>
              </w:rPr>
            </w:pPr>
            <w:r>
              <w:rPr>
                <w:rFonts w:ascii="Verdana" w:hAnsi="Verdana" w:cs="Calibri"/>
                <w:b/>
                <w:bCs/>
                <w:color w:val="000000"/>
                <w:sz w:val="18"/>
                <w:szCs w:val="18"/>
              </w:rPr>
              <w:t xml:space="preserve">Role cca 0,50 m x </w:t>
            </w:r>
            <w:r w:rsidRPr="00DA3E3E">
              <w:rPr>
                <w:rFonts w:ascii="Verdana" w:hAnsi="Verdana" w:cs="Calibri"/>
                <w:b/>
                <w:bCs/>
                <w:color w:val="000000"/>
                <w:sz w:val="18"/>
                <w:szCs w:val="18"/>
                <w:highlight w:val="yellow"/>
              </w:rPr>
              <w:t>95 m</w:t>
            </w:r>
          </w:p>
        </w:tc>
        <w:tc>
          <w:tcPr>
            <w:tcW w:w="1559" w:type="dxa"/>
            <w:tcBorders>
              <w:top w:val="nil"/>
              <w:left w:val="nil"/>
              <w:bottom w:val="single" w:sz="4" w:space="0" w:color="auto"/>
              <w:right w:val="single" w:sz="4" w:space="0" w:color="auto"/>
            </w:tcBorders>
            <w:shd w:val="clear" w:color="auto" w:fill="auto"/>
            <w:vAlign w:val="center"/>
            <w:hideMark/>
          </w:tcPr>
          <w:p w:rsidR="008154F6" w:rsidRDefault="008154F6">
            <w:pPr>
              <w:jc w:val="center"/>
              <w:rPr>
                <w:rFonts w:ascii="Verdana" w:hAnsi="Verdana" w:cs="Calibri"/>
                <w:color w:val="000000"/>
                <w:sz w:val="18"/>
                <w:szCs w:val="18"/>
              </w:rPr>
            </w:pPr>
            <w:r>
              <w:rPr>
                <w:rFonts w:ascii="Verdana" w:hAnsi="Verdana" w:cs="Calibri"/>
                <w:color w:val="000000"/>
                <w:sz w:val="18"/>
                <w:szCs w:val="18"/>
              </w:rPr>
              <w:t>role</w:t>
            </w:r>
          </w:p>
        </w:tc>
        <w:tc>
          <w:tcPr>
            <w:tcW w:w="1377"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63"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721"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r>
      <w:tr w:rsidR="008154F6" w:rsidTr="008154F6">
        <w:trPr>
          <w:trHeight w:val="366"/>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8154F6" w:rsidRDefault="008154F6">
            <w:pPr>
              <w:rPr>
                <w:rFonts w:ascii="Verdana" w:hAnsi="Verdana" w:cs="Calibri"/>
                <w:b/>
                <w:bCs/>
                <w:color w:val="000000"/>
                <w:sz w:val="18"/>
                <w:szCs w:val="18"/>
              </w:rPr>
            </w:pPr>
            <w:r>
              <w:rPr>
                <w:rFonts w:ascii="Verdana" w:hAnsi="Verdana" w:cs="Calibri"/>
                <w:b/>
                <w:bCs/>
                <w:color w:val="000000"/>
                <w:sz w:val="18"/>
                <w:szCs w:val="18"/>
              </w:rPr>
              <w:t xml:space="preserve">Role cca 1,00 m x </w:t>
            </w:r>
            <w:r w:rsidRPr="00DA3E3E">
              <w:rPr>
                <w:rFonts w:ascii="Verdana" w:hAnsi="Verdana" w:cs="Calibri"/>
                <w:b/>
                <w:bCs/>
                <w:color w:val="000000"/>
                <w:sz w:val="18"/>
                <w:szCs w:val="18"/>
                <w:highlight w:val="yellow"/>
              </w:rPr>
              <w:t>95 m</w:t>
            </w:r>
          </w:p>
        </w:tc>
        <w:tc>
          <w:tcPr>
            <w:tcW w:w="1559" w:type="dxa"/>
            <w:tcBorders>
              <w:top w:val="nil"/>
              <w:left w:val="nil"/>
              <w:bottom w:val="single" w:sz="4" w:space="0" w:color="auto"/>
              <w:right w:val="single" w:sz="4" w:space="0" w:color="auto"/>
            </w:tcBorders>
            <w:shd w:val="clear" w:color="auto" w:fill="auto"/>
            <w:vAlign w:val="center"/>
            <w:hideMark/>
          </w:tcPr>
          <w:p w:rsidR="008154F6" w:rsidRDefault="008154F6">
            <w:pPr>
              <w:jc w:val="center"/>
              <w:rPr>
                <w:rFonts w:ascii="Verdana" w:hAnsi="Verdana" w:cs="Calibri"/>
                <w:color w:val="000000"/>
                <w:sz w:val="18"/>
                <w:szCs w:val="18"/>
              </w:rPr>
            </w:pPr>
            <w:r>
              <w:rPr>
                <w:rFonts w:ascii="Verdana" w:hAnsi="Verdana" w:cs="Calibri"/>
                <w:color w:val="000000"/>
                <w:sz w:val="18"/>
                <w:szCs w:val="18"/>
              </w:rPr>
              <w:t>role</w:t>
            </w:r>
          </w:p>
        </w:tc>
        <w:tc>
          <w:tcPr>
            <w:tcW w:w="1377"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63"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721"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r>
      <w:tr w:rsidR="008154F6" w:rsidTr="008154F6">
        <w:trPr>
          <w:trHeight w:val="366"/>
        </w:trPr>
        <w:tc>
          <w:tcPr>
            <w:tcW w:w="3544" w:type="dxa"/>
            <w:tcBorders>
              <w:top w:val="nil"/>
              <w:left w:val="single" w:sz="8" w:space="0" w:color="auto"/>
              <w:bottom w:val="single" w:sz="4" w:space="0" w:color="auto"/>
              <w:right w:val="single" w:sz="4" w:space="0" w:color="auto"/>
            </w:tcBorders>
            <w:shd w:val="clear" w:color="auto" w:fill="auto"/>
            <w:vAlign w:val="center"/>
            <w:hideMark/>
          </w:tcPr>
          <w:p w:rsidR="008154F6" w:rsidRDefault="008154F6">
            <w:pPr>
              <w:rPr>
                <w:rFonts w:ascii="Verdana" w:hAnsi="Verdana" w:cs="Calibri"/>
                <w:b/>
                <w:bCs/>
                <w:color w:val="000000"/>
                <w:sz w:val="18"/>
                <w:szCs w:val="18"/>
              </w:rPr>
            </w:pPr>
            <w:r>
              <w:rPr>
                <w:rFonts w:ascii="Verdana" w:hAnsi="Verdana" w:cs="Calibri"/>
                <w:b/>
                <w:bCs/>
                <w:color w:val="000000"/>
                <w:sz w:val="18"/>
                <w:szCs w:val="18"/>
              </w:rPr>
              <w:t xml:space="preserve">Přířez cca 50 cm x 90 cm </w:t>
            </w:r>
            <w:r>
              <w:rPr>
                <w:rFonts w:ascii="Verdana" w:hAnsi="Verdana" w:cs="Calibri"/>
                <w:color w:val="000000"/>
                <w:sz w:val="18"/>
                <w:szCs w:val="18"/>
              </w:rPr>
              <w:t>(100 ks)</w:t>
            </w:r>
          </w:p>
        </w:tc>
        <w:tc>
          <w:tcPr>
            <w:tcW w:w="1559" w:type="dxa"/>
            <w:tcBorders>
              <w:top w:val="nil"/>
              <w:left w:val="nil"/>
              <w:bottom w:val="single" w:sz="4" w:space="0" w:color="auto"/>
              <w:right w:val="single" w:sz="4" w:space="0" w:color="auto"/>
            </w:tcBorders>
            <w:shd w:val="clear" w:color="auto" w:fill="auto"/>
            <w:vAlign w:val="center"/>
            <w:hideMark/>
          </w:tcPr>
          <w:p w:rsidR="008154F6" w:rsidRDefault="008154F6">
            <w:pPr>
              <w:jc w:val="center"/>
              <w:rPr>
                <w:rFonts w:ascii="Verdana" w:hAnsi="Verdana" w:cs="Calibri"/>
                <w:color w:val="000000"/>
                <w:sz w:val="18"/>
                <w:szCs w:val="18"/>
              </w:rPr>
            </w:pPr>
            <w:r>
              <w:rPr>
                <w:rFonts w:ascii="Verdana" w:hAnsi="Verdana" w:cs="Calibri"/>
                <w:color w:val="000000"/>
                <w:sz w:val="18"/>
                <w:szCs w:val="18"/>
              </w:rPr>
              <w:t>bal / 100 ks</w:t>
            </w:r>
          </w:p>
        </w:tc>
        <w:tc>
          <w:tcPr>
            <w:tcW w:w="1377"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63"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721" w:type="dxa"/>
            <w:tcBorders>
              <w:top w:val="nil"/>
              <w:left w:val="nil"/>
              <w:bottom w:val="single" w:sz="4"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r>
      <w:tr w:rsidR="008154F6" w:rsidTr="008154F6">
        <w:trPr>
          <w:trHeight w:val="366"/>
        </w:trPr>
        <w:tc>
          <w:tcPr>
            <w:tcW w:w="3544" w:type="dxa"/>
            <w:tcBorders>
              <w:top w:val="nil"/>
              <w:left w:val="single" w:sz="8" w:space="0" w:color="auto"/>
              <w:bottom w:val="single" w:sz="8" w:space="0" w:color="auto"/>
              <w:right w:val="single" w:sz="4" w:space="0" w:color="auto"/>
            </w:tcBorders>
            <w:shd w:val="clear" w:color="auto" w:fill="auto"/>
            <w:vAlign w:val="center"/>
            <w:hideMark/>
          </w:tcPr>
          <w:p w:rsidR="008154F6" w:rsidRDefault="008154F6">
            <w:pPr>
              <w:rPr>
                <w:rFonts w:ascii="Verdana" w:hAnsi="Verdana" w:cs="Calibri"/>
                <w:b/>
                <w:bCs/>
                <w:color w:val="000000"/>
                <w:sz w:val="18"/>
                <w:szCs w:val="18"/>
              </w:rPr>
            </w:pPr>
            <w:r>
              <w:rPr>
                <w:rFonts w:ascii="Verdana" w:hAnsi="Verdana" w:cs="Calibri"/>
                <w:b/>
                <w:bCs/>
                <w:color w:val="000000"/>
                <w:sz w:val="18"/>
                <w:szCs w:val="18"/>
              </w:rPr>
              <w:t xml:space="preserve">Přířez cca 40 cm x 50 cm </w:t>
            </w:r>
            <w:r>
              <w:rPr>
                <w:rFonts w:ascii="Verdana" w:hAnsi="Verdana" w:cs="Calibri"/>
                <w:color w:val="000000"/>
                <w:sz w:val="18"/>
                <w:szCs w:val="18"/>
              </w:rPr>
              <w:t>(200 ks)</w:t>
            </w:r>
          </w:p>
        </w:tc>
        <w:tc>
          <w:tcPr>
            <w:tcW w:w="1559" w:type="dxa"/>
            <w:tcBorders>
              <w:top w:val="nil"/>
              <w:left w:val="nil"/>
              <w:bottom w:val="single" w:sz="8" w:space="0" w:color="auto"/>
              <w:right w:val="single" w:sz="4" w:space="0" w:color="auto"/>
            </w:tcBorders>
            <w:shd w:val="clear" w:color="auto" w:fill="auto"/>
            <w:vAlign w:val="center"/>
            <w:hideMark/>
          </w:tcPr>
          <w:p w:rsidR="008154F6" w:rsidRDefault="008154F6">
            <w:pPr>
              <w:jc w:val="center"/>
              <w:rPr>
                <w:rFonts w:ascii="Verdana" w:hAnsi="Verdana" w:cs="Calibri"/>
                <w:color w:val="000000"/>
                <w:sz w:val="18"/>
                <w:szCs w:val="18"/>
              </w:rPr>
            </w:pPr>
            <w:r>
              <w:rPr>
                <w:rFonts w:ascii="Verdana" w:hAnsi="Verdana" w:cs="Calibri"/>
                <w:color w:val="000000"/>
                <w:sz w:val="18"/>
                <w:szCs w:val="18"/>
              </w:rPr>
              <w:t>bal / 200 ks</w:t>
            </w:r>
          </w:p>
        </w:tc>
        <w:tc>
          <w:tcPr>
            <w:tcW w:w="1377" w:type="dxa"/>
            <w:tcBorders>
              <w:top w:val="nil"/>
              <w:left w:val="nil"/>
              <w:bottom w:val="single" w:sz="8"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63" w:type="dxa"/>
            <w:tcBorders>
              <w:top w:val="nil"/>
              <w:left w:val="nil"/>
              <w:bottom w:val="single" w:sz="8"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c>
          <w:tcPr>
            <w:tcW w:w="1721" w:type="dxa"/>
            <w:tcBorders>
              <w:top w:val="nil"/>
              <w:left w:val="nil"/>
              <w:bottom w:val="single" w:sz="8" w:space="0" w:color="auto"/>
              <w:right w:val="single" w:sz="4" w:space="0" w:color="auto"/>
            </w:tcBorders>
            <w:shd w:val="clear" w:color="000000" w:fill="FFFF00"/>
            <w:vAlign w:val="center"/>
            <w:hideMark/>
          </w:tcPr>
          <w:p w:rsidR="008154F6" w:rsidRDefault="008154F6">
            <w:pPr>
              <w:jc w:val="right"/>
              <w:rPr>
                <w:rFonts w:ascii="Verdana" w:hAnsi="Verdana" w:cs="Calibri"/>
                <w:color w:val="000000"/>
                <w:sz w:val="16"/>
                <w:szCs w:val="16"/>
              </w:rPr>
            </w:pPr>
            <w:r>
              <w:rPr>
                <w:rFonts w:ascii="Verdana" w:hAnsi="Verdana" w:cs="Calibri"/>
                <w:color w:val="000000"/>
                <w:sz w:val="16"/>
                <w:szCs w:val="16"/>
              </w:rPr>
              <w:t> </w:t>
            </w:r>
          </w:p>
        </w:tc>
      </w:tr>
    </w:tbl>
    <w:p w:rsidR="008154F6" w:rsidRPr="00BC4687" w:rsidRDefault="008154F6" w:rsidP="008154F6">
      <w:pPr>
        <w:widowControl w:val="0"/>
        <w:suppressAutoHyphens/>
        <w:spacing w:after="120" w:line="276" w:lineRule="auto"/>
        <w:ind w:left="426"/>
        <w:jc w:val="both"/>
        <w:rPr>
          <w:rFonts w:ascii="Tahoma" w:hAnsi="Tahoma" w:cs="Tahoma"/>
          <w:sz w:val="20"/>
          <w:szCs w:val="20"/>
        </w:rPr>
      </w:pP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9C5B29">
        <w:rPr>
          <w:rFonts w:ascii="Tahoma" w:hAnsi="Tahoma" w:cs="Tahoma"/>
          <w:sz w:val="20"/>
          <w:szCs w:val="20"/>
        </w:rPr>
        <w:t>Uvedené jednotkové ceny za jednotlivé položky budou garantovány dodavatelem po dobu trvání</w:t>
      </w:r>
      <w:r w:rsidRPr="00BC4687">
        <w:rPr>
          <w:rFonts w:ascii="Tahoma" w:hAnsi="Tahoma" w:cs="Tahoma"/>
          <w:sz w:val="20"/>
          <w:szCs w:val="20"/>
        </w:rPr>
        <w:t xml:space="preserve"> </w:t>
      </w:r>
      <w:r w:rsidRPr="00BC4687">
        <w:rPr>
          <w:rFonts w:ascii="Tahoma" w:hAnsi="Tahoma" w:cs="Tahoma"/>
          <w:sz w:val="20"/>
          <w:szCs w:val="20"/>
        </w:rPr>
        <w:lastRenderedPageBreak/>
        <w:t>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t>V</w:t>
      </w:r>
      <w:r w:rsidR="00066D69"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dodání</w:t>
      </w:r>
    </w:p>
    <w:p w:rsidR="007471D2" w:rsidRPr="007A6A2D" w:rsidRDefault="00ED43E7" w:rsidP="007A6A2D">
      <w:pPr>
        <w:pStyle w:val="Odstavecseseznamem"/>
        <w:numPr>
          <w:ilvl w:val="0"/>
          <w:numId w:val="22"/>
        </w:numPr>
        <w:spacing w:line="276" w:lineRule="auto"/>
        <w:ind w:left="426" w:hanging="426"/>
        <w:jc w:val="both"/>
        <w:rPr>
          <w:rFonts w:ascii="Tahoma" w:hAnsi="Tahoma" w:cs="Tahoma"/>
          <w:sz w:val="20"/>
          <w:szCs w:val="20"/>
        </w:rPr>
      </w:pPr>
      <w:r w:rsidRPr="00D34782">
        <w:rPr>
          <w:rFonts w:ascii="Tahoma" w:hAnsi="Tahoma" w:cs="Tahoma"/>
          <w:b/>
          <w:sz w:val="20"/>
          <w:szCs w:val="20"/>
        </w:rPr>
        <w:t>Místo</w:t>
      </w:r>
      <w:r w:rsidRPr="00D34782">
        <w:rPr>
          <w:rFonts w:ascii="Tahoma" w:hAnsi="Tahoma" w:cs="Tahoma"/>
          <w:sz w:val="20"/>
          <w:szCs w:val="20"/>
        </w:rPr>
        <w:t xml:space="preserve"> </w:t>
      </w:r>
      <w:r w:rsidRPr="00D34782">
        <w:rPr>
          <w:rFonts w:ascii="Tahoma" w:hAnsi="Tahoma" w:cs="Tahoma"/>
          <w:b/>
          <w:sz w:val="20"/>
          <w:szCs w:val="20"/>
        </w:rPr>
        <w:t>plnění</w:t>
      </w:r>
      <w:r w:rsidRPr="00D34782">
        <w:rPr>
          <w:rFonts w:ascii="Tahoma" w:hAnsi="Tahoma" w:cs="Tahoma"/>
          <w:sz w:val="20"/>
          <w:szCs w:val="20"/>
        </w:rPr>
        <w:t xml:space="preserve">: </w:t>
      </w:r>
      <w:r w:rsidR="007471D2" w:rsidRPr="007A6A2D">
        <w:rPr>
          <w:rFonts w:ascii="Verdana" w:hAnsi="Verdana" w:cs="Arial"/>
          <w:b/>
          <w:sz w:val="18"/>
          <w:szCs w:val="18"/>
        </w:rPr>
        <w:t>Slezsk</w:t>
      </w:r>
      <w:r w:rsidR="007A6A2D">
        <w:rPr>
          <w:rFonts w:ascii="Verdana" w:hAnsi="Verdana" w:cs="Arial"/>
          <w:b/>
          <w:sz w:val="18"/>
          <w:szCs w:val="18"/>
        </w:rPr>
        <w:t>á</w:t>
      </w:r>
      <w:r w:rsidR="007471D2" w:rsidRPr="007A6A2D">
        <w:rPr>
          <w:rFonts w:ascii="Verdana" w:hAnsi="Verdana" w:cs="Arial"/>
          <w:b/>
          <w:sz w:val="18"/>
          <w:szCs w:val="18"/>
        </w:rPr>
        <w:t xml:space="preserve"> nemocnice v Opavě</w:t>
      </w:r>
      <w:r w:rsidR="007471D2" w:rsidRPr="007A6A2D">
        <w:rPr>
          <w:rFonts w:ascii="Verdana" w:hAnsi="Verdana" w:cs="Arial"/>
          <w:sz w:val="18"/>
          <w:szCs w:val="18"/>
        </w:rPr>
        <w:t>, Olomoucká 470/86, Předměstí, 746 01 Opava</w:t>
      </w:r>
      <w:r w:rsidR="007A6A2D">
        <w:rPr>
          <w:rFonts w:ascii="Verdana" w:hAnsi="Verdana" w:cs="Arial"/>
          <w:sz w:val="18"/>
          <w:szCs w:val="18"/>
        </w:rPr>
        <w:t>, sklad MTZ, budova A</w:t>
      </w:r>
      <w:r w:rsidR="007471D2" w:rsidRPr="007A6A2D">
        <w:rPr>
          <w:rFonts w:ascii="Verdana" w:hAnsi="Verdana" w:cs="Arial"/>
          <w:sz w:val="18"/>
          <w:szCs w:val="18"/>
        </w:rPr>
        <w:t xml:space="preserve">. </w:t>
      </w:r>
    </w:p>
    <w:p w:rsidR="007471D2" w:rsidRDefault="007471D2" w:rsidP="007471D2">
      <w:pPr>
        <w:pStyle w:val="Odstavecseseznamem"/>
        <w:ind w:left="284"/>
        <w:jc w:val="both"/>
        <w:rPr>
          <w:rFonts w:ascii="Arial" w:hAnsi="Arial" w:cs="Arial"/>
          <w:color w:val="FF0000"/>
          <w:sz w:val="20"/>
          <w:szCs w:val="20"/>
        </w:rPr>
      </w:pPr>
    </w:p>
    <w:p w:rsidR="007471D2" w:rsidRDefault="00ED43E7" w:rsidP="007A41F0">
      <w:pPr>
        <w:pStyle w:val="Odstavecseseznamem"/>
        <w:numPr>
          <w:ilvl w:val="0"/>
          <w:numId w:val="22"/>
        </w:numPr>
        <w:spacing w:line="276" w:lineRule="auto"/>
        <w:ind w:left="426" w:hanging="426"/>
        <w:jc w:val="both"/>
        <w:outlineLvl w:val="0"/>
        <w:rPr>
          <w:rFonts w:ascii="Tahoma" w:hAnsi="Tahoma" w:cs="Tahoma"/>
          <w:sz w:val="20"/>
          <w:szCs w:val="20"/>
          <w:lang w:eastAsia="en-US"/>
        </w:rPr>
      </w:pPr>
      <w:r w:rsidRPr="00ED43E7">
        <w:rPr>
          <w:rFonts w:ascii="Tahoma" w:hAnsi="Tahoma" w:cs="Tahoma"/>
          <w:b/>
          <w:sz w:val="20"/>
          <w:szCs w:val="20"/>
          <w:lang w:eastAsia="en-US"/>
        </w:rPr>
        <w:t>Doba plnění</w:t>
      </w:r>
      <w:bookmarkStart w:id="4" w:name="_Hlk63935020"/>
      <w:r w:rsidRPr="00ED43E7">
        <w:rPr>
          <w:rFonts w:ascii="Tahoma" w:hAnsi="Tahoma" w:cs="Tahoma"/>
          <w:sz w:val="20"/>
          <w:szCs w:val="20"/>
          <w:lang w:eastAsia="en-US"/>
        </w:rPr>
        <w:t xml:space="preserve"> je stanovena </w:t>
      </w:r>
      <w:bookmarkEnd w:id="4"/>
      <w:r w:rsidR="007471D2">
        <w:rPr>
          <w:rFonts w:ascii="Tahoma" w:hAnsi="Tahoma" w:cs="Tahoma"/>
          <w:b/>
          <w:sz w:val="20"/>
          <w:szCs w:val="20"/>
          <w:lang w:eastAsia="en-US"/>
        </w:rPr>
        <w:t>od 12. 6. 2025 do 12. 6. 2027.</w:t>
      </w:r>
    </w:p>
    <w:p w:rsidR="00ED43E7" w:rsidRPr="00ED43E7" w:rsidRDefault="00ED43E7" w:rsidP="007471D2">
      <w:pPr>
        <w:pStyle w:val="Odstavecseseznamem"/>
        <w:spacing w:line="276" w:lineRule="auto"/>
        <w:ind w:left="426"/>
        <w:jc w:val="both"/>
        <w:outlineLvl w:val="0"/>
        <w:rPr>
          <w:rFonts w:ascii="Tahoma" w:hAnsi="Tahoma" w:cs="Tahoma"/>
          <w:sz w:val="20"/>
          <w:szCs w:val="20"/>
          <w:lang w:eastAsia="en-US"/>
        </w:rPr>
      </w:pPr>
      <w:r w:rsidRPr="00ED43E7">
        <w:rPr>
          <w:rFonts w:ascii="Tahoma" w:hAnsi="Tahoma" w:cs="Tahoma"/>
          <w:sz w:val="20"/>
          <w:szCs w:val="20"/>
          <w:lang w:eastAsia="en-US"/>
        </w:rPr>
        <w:t>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rsidR="00B14801" w:rsidRPr="00BC4687" w:rsidRDefault="00B14801" w:rsidP="00ED43E7">
      <w:pPr>
        <w:pStyle w:val="Odstavecseseznamem"/>
        <w:spacing w:after="120" w:line="276" w:lineRule="auto"/>
        <w:ind w:left="426" w:hanging="426"/>
        <w:contextualSpacing w:val="0"/>
        <w:jc w:val="both"/>
        <w:rPr>
          <w:rFonts w:ascii="Tahoma" w:hAnsi="Tahoma" w:cs="Tahoma"/>
          <w:sz w:val="20"/>
          <w:szCs w:val="20"/>
        </w:rPr>
      </w:pPr>
      <w:r w:rsidRPr="00BC4687">
        <w:rPr>
          <w:rFonts w:ascii="Tahoma" w:hAnsi="Tahoma" w:cs="Tahoma"/>
          <w:sz w:val="20"/>
          <w:szCs w:val="20"/>
        </w:rPr>
        <w:t xml:space="preserve"> </w:t>
      </w:r>
    </w:p>
    <w:p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bookmarkStart w:id="5" w:name="_Hlk81507075"/>
      <w:r w:rsidRPr="009D6F0B">
        <w:rPr>
          <w:rFonts w:ascii="Tahoma" w:hAnsi="Tahoma" w:cs="Tahoma"/>
          <w:sz w:val="20"/>
          <w:szCs w:val="22"/>
        </w:rPr>
        <w:t xml:space="preserve">Kupní cena bude prodávajícímu hrazena průběžně po dodání zboží kupujícímu na základě skutečného počtu odebraného množství. </w:t>
      </w:r>
    </w:p>
    <w:p w:rsidR="005B50B0" w:rsidRPr="009D6F0B" w:rsidRDefault="005B50B0" w:rsidP="005B50B0">
      <w:pPr>
        <w:numPr>
          <w:ilvl w:val="0"/>
          <w:numId w:val="25"/>
        </w:numPr>
        <w:spacing w:after="120" w:line="276" w:lineRule="auto"/>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rsidR="005B50B0" w:rsidRDefault="005B50B0" w:rsidP="005B50B0">
      <w:pPr>
        <w:pStyle w:val="Odstavecseseznamem"/>
        <w:spacing w:after="120" w:line="276" w:lineRule="auto"/>
        <w:ind w:left="284"/>
        <w:jc w:val="both"/>
        <w:rPr>
          <w:rFonts w:ascii="Verdana" w:hAnsi="Verdana"/>
          <w:b/>
          <w:sz w:val="18"/>
          <w:szCs w:val="18"/>
        </w:rPr>
      </w:pPr>
      <w:r w:rsidRPr="009D6F0B">
        <w:rPr>
          <w:rFonts w:ascii="Tahoma" w:hAnsi="Tahoma" w:cs="Tahoma"/>
          <w:b/>
          <w:sz w:val="20"/>
          <w:szCs w:val="22"/>
        </w:rPr>
        <w:t>Faktur</w:t>
      </w:r>
      <w:r>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OPA/Hal/202</w:t>
      </w:r>
      <w:r w:rsidR="007471D2">
        <w:rPr>
          <w:rFonts w:ascii="Tahoma" w:hAnsi="Tahoma" w:cs="Tahoma"/>
          <w:b/>
          <w:bCs/>
          <w:color w:val="000000"/>
          <w:sz w:val="19"/>
          <w:szCs w:val="19"/>
          <w:shd w:val="clear" w:color="auto" w:fill="FFFFFF"/>
        </w:rPr>
        <w:t>5</w:t>
      </w:r>
      <w:r w:rsidRPr="009D6F0B">
        <w:rPr>
          <w:rFonts w:ascii="Tahoma" w:hAnsi="Tahoma" w:cs="Tahoma"/>
          <w:b/>
          <w:bCs/>
          <w:color w:val="000000"/>
          <w:sz w:val="19"/>
          <w:szCs w:val="19"/>
          <w:shd w:val="clear" w:color="auto" w:fill="FFFFFF"/>
        </w:rPr>
        <w:t>/1</w:t>
      </w:r>
      <w:r w:rsidR="007471D2">
        <w:rPr>
          <w:rFonts w:ascii="Tahoma" w:hAnsi="Tahoma" w:cs="Tahoma"/>
          <w:b/>
          <w:bCs/>
          <w:color w:val="000000"/>
          <w:sz w:val="19"/>
          <w:szCs w:val="19"/>
          <w:shd w:val="clear" w:color="auto" w:fill="FFFFFF"/>
        </w:rPr>
        <w:t>2</w:t>
      </w:r>
      <w:r w:rsidRPr="009D6F0B">
        <w:rPr>
          <w:rFonts w:ascii="Verdana" w:hAnsi="Verdana"/>
          <w:b/>
          <w:sz w:val="18"/>
          <w:szCs w:val="18"/>
        </w:rPr>
        <w:t>).</w:t>
      </w:r>
    </w:p>
    <w:p w:rsidR="005B50B0" w:rsidRPr="009D6F0B" w:rsidRDefault="005B50B0" w:rsidP="005B50B0">
      <w:pPr>
        <w:pStyle w:val="Odstavecseseznamem"/>
        <w:spacing w:after="120" w:line="276" w:lineRule="auto"/>
        <w:ind w:left="284"/>
        <w:jc w:val="both"/>
        <w:rPr>
          <w:rFonts w:ascii="Tahoma" w:hAnsi="Tahoma" w:cs="Tahoma"/>
          <w:b/>
          <w:sz w:val="20"/>
          <w:szCs w:val="22"/>
        </w:rPr>
      </w:pPr>
    </w:p>
    <w:p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1158C6">
        <w:rPr>
          <w:rFonts w:ascii="Tahoma" w:hAnsi="Tahoma" w:cs="Tahoma"/>
          <w:sz w:val="20"/>
          <w:szCs w:val="22"/>
        </w:rPr>
        <w:t xml:space="preserve">30 </w:t>
      </w:r>
      <w:r w:rsidRPr="009D6F0B">
        <w:rPr>
          <w:rFonts w:ascii="Tahoma" w:hAnsi="Tahoma" w:cs="Tahoma"/>
          <w:sz w:val="20"/>
          <w:szCs w:val="22"/>
        </w:rPr>
        <w:t xml:space="preserve">kalendářních dnů ode dne jejího doručení kupujícímu. Doručení faktury se provede osobně oproti podpisu zmocněné osoby kupujícího nebo doručenkou prostřednictvím provozovatele poštovních služeb </w:t>
      </w:r>
      <w:r w:rsidRPr="001158C6">
        <w:rPr>
          <w:rFonts w:ascii="Tahoma" w:hAnsi="Tahoma" w:cs="Tahoma"/>
          <w:sz w:val="20"/>
          <w:szCs w:val="22"/>
        </w:rPr>
        <w:t xml:space="preserve">nebo mailem na adresu </w:t>
      </w:r>
      <w:hyperlink r:id="rId8" w:history="1"/>
      <w:r>
        <w:rPr>
          <w:rFonts w:ascii="Tahoma" w:hAnsi="Tahoma" w:cs="Tahoma"/>
          <w:sz w:val="20"/>
          <w:szCs w:val="22"/>
        </w:rPr>
        <w:t xml:space="preserve"> </w:t>
      </w:r>
      <w:hyperlink r:id="rId9" w:history="1">
        <w:r w:rsidRPr="00A57F90">
          <w:rPr>
            <w:rStyle w:val="Hypertextovodkaz"/>
            <w:rFonts w:ascii="Tahoma" w:hAnsi="Tahoma" w:cs="Tahoma"/>
            <w:sz w:val="20"/>
            <w:szCs w:val="22"/>
          </w:rPr>
          <w:t>fin.uct@snopava.cz</w:t>
        </w:r>
      </w:hyperlink>
      <w:r>
        <w:rPr>
          <w:rFonts w:ascii="Tahoma" w:hAnsi="Tahoma" w:cs="Tahoma"/>
          <w:sz w:val="20"/>
          <w:szCs w:val="22"/>
        </w:rPr>
        <w:t xml:space="preserve"> </w:t>
      </w:r>
      <w:r w:rsidRPr="001158C6">
        <w:rPr>
          <w:rFonts w:ascii="Tahoma" w:hAnsi="Tahoma" w:cs="Tahoma"/>
          <w:sz w:val="20"/>
          <w:szCs w:val="22"/>
        </w:rPr>
        <w:t>.</w:t>
      </w:r>
    </w:p>
    <w:p w:rsidR="005B50B0" w:rsidRPr="009D6F0B" w:rsidRDefault="005B50B0" w:rsidP="005B50B0">
      <w:pPr>
        <w:pStyle w:val="Odstavecseseznamem"/>
        <w:spacing w:after="120" w:line="276" w:lineRule="auto"/>
        <w:ind w:left="284"/>
        <w:jc w:val="both"/>
        <w:rPr>
          <w:rFonts w:ascii="Tahoma" w:hAnsi="Tahoma" w:cs="Tahoma"/>
          <w:sz w:val="20"/>
          <w:szCs w:val="22"/>
        </w:rPr>
      </w:pPr>
    </w:p>
    <w:p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rsidR="005B50B0" w:rsidRPr="009D6F0B" w:rsidRDefault="005B50B0" w:rsidP="005B50B0">
      <w:pPr>
        <w:pStyle w:val="Odstavecseseznamem"/>
        <w:spacing w:after="120" w:line="276" w:lineRule="auto"/>
        <w:ind w:left="284"/>
        <w:jc w:val="both"/>
        <w:rPr>
          <w:rFonts w:ascii="Tahoma" w:hAnsi="Tahoma" w:cs="Tahoma"/>
          <w:sz w:val="20"/>
          <w:szCs w:val="22"/>
        </w:rPr>
      </w:pPr>
    </w:p>
    <w:p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rsidR="005B50B0" w:rsidRPr="009D6F0B" w:rsidRDefault="005B50B0" w:rsidP="005B50B0">
      <w:pPr>
        <w:pStyle w:val="Odstavecseseznamem"/>
        <w:spacing w:after="120" w:line="276" w:lineRule="auto"/>
        <w:ind w:left="284"/>
        <w:jc w:val="both"/>
        <w:rPr>
          <w:rFonts w:ascii="Tahoma" w:hAnsi="Tahoma" w:cs="Tahoma"/>
          <w:sz w:val="20"/>
          <w:szCs w:val="22"/>
        </w:rPr>
      </w:pPr>
    </w:p>
    <w:p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Je-li prodávající plátcem DPH, kupující uplatní institut zvláštního způsobu zajištění daně dle § </w:t>
      </w:r>
      <w:proofErr w:type="gramStart"/>
      <w:r w:rsidRPr="009D6F0B">
        <w:rPr>
          <w:rFonts w:ascii="Tahoma" w:hAnsi="Tahoma" w:cs="Tahoma"/>
          <w:sz w:val="20"/>
          <w:szCs w:val="22"/>
        </w:rPr>
        <w:t>109a</w:t>
      </w:r>
      <w:proofErr w:type="gramEnd"/>
      <w:r w:rsidRPr="009D6F0B">
        <w:rPr>
          <w:rFonts w:ascii="Tahoma" w:hAnsi="Tahoma" w:cs="Tahoma"/>
          <w:sz w:val="20"/>
          <w:szCs w:val="22"/>
        </w:rPr>
        <w:t xml:space="preserve"> zákona o DPH a hodnotu plnění odpovídající dani z přidané hodnoty uhradí v termínu splatnosti </w:t>
      </w:r>
      <w:r w:rsidRPr="009D6F0B">
        <w:rPr>
          <w:rFonts w:ascii="Tahoma" w:hAnsi="Tahoma" w:cs="Tahoma"/>
          <w:sz w:val="20"/>
          <w:szCs w:val="22"/>
        </w:rPr>
        <w:lastRenderedPageBreak/>
        <w:t>faktury stanoveném dle smlouvy přímo na osobní depozitní účet prodávajícího vedený u místně příslušného správce daně v případě, že:</w:t>
      </w:r>
    </w:p>
    <w:p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rsidR="005B50B0" w:rsidRPr="00BC4687" w:rsidRDefault="005B50B0" w:rsidP="005B50B0">
      <w:pPr>
        <w:spacing w:after="120" w:line="276" w:lineRule="auto"/>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rsidR="00B80A3B" w:rsidRPr="00BC4687" w:rsidRDefault="00B80A3B">
      <w:pPr>
        <w:rPr>
          <w:rFonts w:ascii="Tahoma" w:hAnsi="Tahoma" w:cs="Tahoma"/>
          <w:b/>
          <w:bCs/>
          <w:caps/>
          <w:sz w:val="20"/>
          <w:szCs w:val="22"/>
        </w:rPr>
      </w:pPr>
    </w:p>
    <w:p w:rsidR="00A612B8" w:rsidRPr="00BC4687" w:rsidRDefault="00A612B8" w:rsidP="00A612B8">
      <w:pPr>
        <w:rPr>
          <w:rFonts w:ascii="Tahoma" w:hAnsi="Tahoma" w:cs="Tahoma"/>
        </w:rPr>
      </w:pPr>
    </w:p>
    <w:p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rsidR="00066D69" w:rsidRPr="00BC4687" w:rsidRDefault="00066D69" w:rsidP="001954CF">
      <w:pPr>
        <w:numPr>
          <w:ilvl w:val="3"/>
          <w:numId w:val="2"/>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rsidR="00E47289" w:rsidRDefault="00E47289"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FF49A0" w:rsidRDefault="00FF49A0" w:rsidP="001954CF">
      <w:pPr>
        <w:numPr>
          <w:ilvl w:val="3"/>
          <w:numId w:val="2"/>
        </w:numPr>
        <w:tabs>
          <w:tab w:val="num" w:pos="-7230"/>
          <w:tab w:val="num" w:pos="380"/>
        </w:tabs>
        <w:spacing w:after="120" w:line="276" w:lineRule="auto"/>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Pr>
          <w:rFonts w:ascii="Tahoma" w:hAnsi="Tahoma" w:cs="Tahoma"/>
          <w:sz w:val="20"/>
          <w:szCs w:val="20"/>
        </w:rPr>
        <w:t>telefon</w:t>
      </w:r>
      <w:r w:rsidRPr="00633675">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FF49A0" w:rsidRPr="00BC4687" w:rsidRDefault="00FF49A0" w:rsidP="0077480A">
      <w:pPr>
        <w:tabs>
          <w:tab w:val="num" w:pos="3237"/>
        </w:tabs>
        <w:spacing w:after="120" w:line="276" w:lineRule="auto"/>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rsidR="00E47289" w:rsidRPr="00BC4687" w:rsidRDefault="0077480A" w:rsidP="0077480A">
      <w:pPr>
        <w:tabs>
          <w:tab w:val="num" w:pos="3237"/>
        </w:tabs>
        <w:spacing w:after="120" w:line="276" w:lineRule="auto"/>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6"/>
    <w:p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rsidR="00F45304" w:rsidRPr="00BC4687" w:rsidRDefault="00E47289"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lastRenderedPageBreak/>
        <w:t>V případě prodlení kupujícího s úhradou kupní ceny je prodávající oprávněn požadovat na kupujícím úrok z prodlení v zákonem stanovené výši z dlužné částky, a to až do úplného zaplacení dlužné částky.</w:t>
      </w:r>
    </w:p>
    <w:p w:rsidR="000D694E"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w:t>
      </w:r>
      <w:r w:rsidR="007471D2">
        <w:rPr>
          <w:rFonts w:ascii="Tahoma" w:hAnsi="Tahoma" w:cs="Tahoma"/>
          <w:iCs/>
          <w:sz w:val="20"/>
          <w:szCs w:val="22"/>
        </w:rPr>
        <w:t>,</w:t>
      </w:r>
      <w:r w:rsidRPr="00BC4687">
        <w:rPr>
          <w:rFonts w:ascii="Tahoma" w:hAnsi="Tahoma" w:cs="Tahoma"/>
          <w:iCs/>
          <w:sz w:val="20"/>
          <w:szCs w:val="22"/>
        </w:rPr>
        <w:t xml:space="preserve"> a to i formou zápočtu proti kterékoliv splatné pohledávce prodávajícího vůči kupujícímu.</w:t>
      </w:r>
      <w:r w:rsidR="00066D69" w:rsidRPr="00BC4687">
        <w:rPr>
          <w:rFonts w:ascii="Tahoma" w:hAnsi="Tahoma" w:cs="Tahoma"/>
          <w:sz w:val="20"/>
          <w:szCs w:val="22"/>
        </w:rPr>
        <w:t xml:space="preserve"> </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rsidR="0073300A" w:rsidRPr="00BC4687" w:rsidRDefault="0073300A">
      <w:pPr>
        <w:rPr>
          <w:rFonts w:ascii="Tahoma" w:eastAsia="SimSun" w:hAnsi="Tahoma" w:cs="Tahoma"/>
          <w:b/>
          <w:kern w:val="1"/>
          <w:sz w:val="20"/>
          <w:szCs w:val="22"/>
          <w:lang w:eastAsia="hi-IN" w:bidi="hi-IN"/>
        </w:rPr>
      </w:pPr>
    </w:p>
    <w:p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rsidR="00C4051A" w:rsidRPr="00BC4687" w:rsidRDefault="00C4051A" w:rsidP="00C4051A">
      <w:pPr>
        <w:pStyle w:val="Import16"/>
        <w:tabs>
          <w:tab w:val="clear" w:pos="864"/>
        </w:tabs>
        <w:spacing w:after="120" w:line="276" w:lineRule="auto"/>
        <w:ind w:left="425" w:firstLine="0"/>
        <w:jc w:val="both"/>
        <w:rPr>
          <w:rFonts w:ascii="Tahoma" w:hAnsi="Tahoma" w:cs="Tahoma"/>
          <w:sz w:val="20"/>
          <w:szCs w:val="22"/>
        </w:rPr>
      </w:pP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této smlouvy, je prodávající povinen zaplatit kupujícímu smlu</w:t>
      </w:r>
      <w:r w:rsidR="005B50B0">
        <w:rPr>
          <w:rFonts w:ascii="Tahoma" w:hAnsi="Tahoma" w:cs="Tahoma"/>
          <w:sz w:val="20"/>
        </w:rPr>
        <w:t>vní pokutu ve výši 10</w:t>
      </w:r>
      <w:r w:rsidRPr="00BC4687">
        <w:rPr>
          <w:rFonts w:ascii="Tahoma" w:hAnsi="Tahoma" w:cs="Tahoma"/>
          <w:sz w:val="20"/>
        </w:rPr>
        <w:t>0.000 Kč, a to za každý jednotlivý případ porušení.</w:t>
      </w: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Zveřejnění smlouvy a metadat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w:t>
      </w:r>
      <w:r w:rsidRPr="00BC4687">
        <w:rPr>
          <w:rFonts w:ascii="Tahoma" w:hAnsi="Tahoma" w:cs="Tahoma"/>
          <w:iCs/>
          <w:sz w:val="20"/>
          <w:szCs w:val="20"/>
        </w:rPr>
        <w:lastRenderedPageBreak/>
        <w:t>o zadávání veřejných zakázek.</w:t>
      </w:r>
    </w:p>
    <w:p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rsidR="00066D69" w:rsidRPr="00BC4687" w:rsidRDefault="00066D69" w:rsidP="001954CF">
      <w:pPr>
        <w:numPr>
          <w:ilvl w:val="0"/>
          <w:numId w:val="11"/>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rsidR="00066D69" w:rsidRPr="00BC4687" w:rsidRDefault="00066D69"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rsidR="00CC34FD" w:rsidRPr="00BC4687" w:rsidRDefault="00066D69" w:rsidP="001954CF">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rsidR="00CC34FD" w:rsidRPr="00BC4687" w:rsidRDefault="001A260E"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rsidR="00CC34FD" w:rsidRPr="00BC4687" w:rsidRDefault="00CC34FD"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rsidR="008A15AE"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rsidR="00511AD2"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Pr="00BC4687" w:rsidRDefault="00511AD2">
      <w:pPr>
        <w:rPr>
          <w:rFonts w:ascii="Tahoma" w:hAnsi="Tahoma" w:cs="Tahoma"/>
          <w:sz w:val="20"/>
          <w:szCs w:val="22"/>
        </w:rPr>
      </w:pP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rsidR="00B2739B" w:rsidRPr="00BC4687" w:rsidRDefault="00B2739B" w:rsidP="001954CF">
      <w:pPr>
        <w:widowControl w:val="0"/>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rsidR="00B2739B" w:rsidRPr="00BC4687" w:rsidRDefault="00B2739B" w:rsidP="001954CF">
      <w:pPr>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rsidR="003D07FB" w:rsidRPr="00BC4687" w:rsidRDefault="003D07FB" w:rsidP="001954CF">
      <w:pPr>
        <w:numPr>
          <w:ilvl w:val="0"/>
          <w:numId w:val="10"/>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rsidR="00384B6B" w:rsidRPr="00BC4687" w:rsidRDefault="00384B6B"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lastRenderedPageBreak/>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Pr="00BC4687" w:rsidRDefault="004979E1" w:rsidP="001954CF">
      <w:pPr>
        <w:numPr>
          <w:ilvl w:val="0"/>
          <w:numId w:val="10"/>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531A1D" w:rsidRPr="00BC4687" w:rsidRDefault="0004468F"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rsidR="00B34AF5" w:rsidRPr="00BC4687" w:rsidRDefault="00531A1D"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0"/>
    <w:p w:rsidR="004979E1" w:rsidRPr="00253B96" w:rsidRDefault="004979E1" w:rsidP="001954CF">
      <w:pPr>
        <w:numPr>
          <w:ilvl w:val="0"/>
          <w:numId w:val="10"/>
        </w:numPr>
        <w:spacing w:line="276" w:lineRule="auto"/>
        <w:ind w:left="284" w:hanging="284"/>
        <w:jc w:val="both"/>
        <w:rPr>
          <w:rFonts w:ascii="Tahoma" w:hAnsi="Tahoma" w:cs="Tahoma"/>
          <w:strike/>
          <w:sz w:val="20"/>
          <w:szCs w:val="22"/>
          <w:highlight w:val="green"/>
        </w:rPr>
      </w:pPr>
      <w:r w:rsidRPr="00253B96">
        <w:rPr>
          <w:rFonts w:ascii="Tahoma" w:hAnsi="Tahoma" w:cs="Tahoma"/>
          <w:strike/>
          <w:sz w:val="20"/>
          <w:szCs w:val="22"/>
          <w:highlight w:val="green"/>
        </w:rPr>
        <w:t>Součástí smlouvy j</w:t>
      </w:r>
      <w:r w:rsidR="00511AD2" w:rsidRPr="00253B96">
        <w:rPr>
          <w:rFonts w:ascii="Tahoma" w:hAnsi="Tahoma" w:cs="Tahoma"/>
          <w:strike/>
          <w:sz w:val="20"/>
          <w:szCs w:val="22"/>
          <w:highlight w:val="green"/>
        </w:rPr>
        <w:t>e</w:t>
      </w:r>
      <w:r w:rsidRPr="00253B96">
        <w:rPr>
          <w:rFonts w:ascii="Tahoma" w:hAnsi="Tahoma" w:cs="Tahoma"/>
          <w:strike/>
          <w:sz w:val="20"/>
          <w:szCs w:val="22"/>
          <w:highlight w:val="green"/>
        </w:rPr>
        <w:t>:</w:t>
      </w:r>
    </w:p>
    <w:p w:rsidR="004979E1" w:rsidRPr="00253B96" w:rsidRDefault="004979E1" w:rsidP="002B039D">
      <w:pPr>
        <w:spacing w:line="276" w:lineRule="auto"/>
        <w:ind w:left="284"/>
        <w:jc w:val="both"/>
        <w:rPr>
          <w:rFonts w:ascii="Tahoma" w:hAnsi="Tahoma" w:cs="Tahoma"/>
          <w:strike/>
          <w:sz w:val="20"/>
          <w:szCs w:val="22"/>
        </w:rPr>
      </w:pPr>
      <w:r w:rsidRPr="00253B96">
        <w:rPr>
          <w:rFonts w:ascii="Tahoma" w:hAnsi="Tahoma" w:cs="Tahoma"/>
          <w:strike/>
          <w:sz w:val="20"/>
          <w:szCs w:val="22"/>
          <w:highlight w:val="green"/>
        </w:rPr>
        <w:t xml:space="preserve">Příloha č. 1 </w:t>
      </w:r>
      <w:r w:rsidR="002B039D" w:rsidRPr="00253B96">
        <w:rPr>
          <w:rFonts w:ascii="Tahoma" w:hAnsi="Tahoma" w:cs="Tahoma"/>
          <w:strike/>
          <w:sz w:val="20"/>
          <w:szCs w:val="22"/>
          <w:highlight w:val="green"/>
        </w:rPr>
        <w:t>Cenová kalkulace (Příloha č. 6 ZD)</w:t>
      </w:r>
    </w:p>
    <w:p w:rsidR="00BC4687" w:rsidRPr="00BC4687" w:rsidRDefault="00BC4687" w:rsidP="001C22B9">
      <w:pPr>
        <w:spacing w:line="276" w:lineRule="auto"/>
        <w:ind w:left="284" w:hanging="284"/>
        <w:jc w:val="both"/>
        <w:rPr>
          <w:rFonts w:ascii="Tahoma" w:hAnsi="Tahoma" w:cs="Tahoma"/>
          <w:sz w:val="20"/>
          <w:szCs w:val="22"/>
        </w:rPr>
      </w:pPr>
    </w:p>
    <w:p w:rsidR="00F514D6" w:rsidRDefault="00F514D6" w:rsidP="007C0279">
      <w:pPr>
        <w:spacing w:line="276" w:lineRule="auto"/>
        <w:ind w:left="425" w:firstLine="284"/>
        <w:jc w:val="both"/>
        <w:rPr>
          <w:rFonts w:ascii="Tahoma" w:hAnsi="Tahoma" w:cs="Tahoma"/>
          <w:sz w:val="20"/>
          <w:szCs w:val="22"/>
        </w:rPr>
      </w:pPr>
    </w:p>
    <w:p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78"/>
        <w:gridCol w:w="4592"/>
      </w:tblGrid>
      <w:tr w:rsidR="003E7416" w:rsidRPr="00BC4687" w:rsidTr="00D70880">
        <w:tc>
          <w:tcPr>
            <w:tcW w:w="4581" w:type="dxa"/>
          </w:tcPr>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p>
        </w:tc>
        <w:tc>
          <w:tcPr>
            <w:tcW w:w="4705" w:type="dxa"/>
          </w:tcPr>
          <w:p w:rsidR="003E7416" w:rsidRPr="00BC4687" w:rsidRDefault="003E7416" w:rsidP="00BC4687">
            <w:pPr>
              <w:tabs>
                <w:tab w:val="left" w:pos="2707"/>
              </w:tabs>
              <w:spacing w:after="120" w:line="276" w:lineRule="auto"/>
              <w:ind w:left="425" w:hanging="44"/>
              <w:jc w:val="both"/>
              <w:rPr>
                <w:rFonts w:ascii="Tahoma" w:hAnsi="Tahoma" w:cs="Tahoma"/>
                <w:sz w:val="20"/>
                <w:szCs w:val="20"/>
              </w:rPr>
            </w:pPr>
            <w:proofErr w:type="gramStart"/>
            <w:r w:rsidRPr="00BC4687">
              <w:rPr>
                <w:rFonts w:ascii="Tahoma" w:hAnsi="Tahoma" w:cs="Tahoma"/>
                <w:sz w:val="20"/>
                <w:szCs w:val="20"/>
              </w:rPr>
              <w:t xml:space="preserve">V  </w:t>
            </w:r>
            <w:r w:rsidR="00633675" w:rsidRPr="00BC4687">
              <w:rPr>
                <w:rFonts w:ascii="Tahoma" w:hAnsi="Tahoma" w:cs="Tahoma"/>
                <w:sz w:val="20"/>
                <w:szCs w:val="20"/>
              </w:rPr>
              <w:t>…</w:t>
            </w:r>
            <w:proofErr w:type="gramEnd"/>
            <w:r w:rsidR="00633675" w:rsidRPr="00BC4687">
              <w:rPr>
                <w:rFonts w:ascii="Tahoma" w:hAnsi="Tahoma" w:cs="Tahoma"/>
                <w:sz w:val="20"/>
                <w:szCs w:val="20"/>
              </w:rPr>
              <w:t>……………………</w:t>
            </w:r>
            <w:r w:rsidRPr="00BC4687">
              <w:rPr>
                <w:rFonts w:ascii="Tahoma" w:hAnsi="Tahoma" w:cs="Tahoma"/>
                <w:sz w:val="20"/>
                <w:szCs w:val="20"/>
              </w:rPr>
              <w:t>dne  ………</w:t>
            </w:r>
          </w:p>
        </w:tc>
      </w:tr>
      <w:tr w:rsidR="003E7416" w:rsidRPr="00BC4687" w:rsidTr="00D70880">
        <w:tc>
          <w:tcPr>
            <w:tcW w:w="4581" w:type="dxa"/>
          </w:tcPr>
          <w:p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p>
    <w:p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p>
    <w:p w:rsidR="00301CC9" w:rsidRPr="00BC4687" w:rsidRDefault="00301CC9" w:rsidP="00253B96">
      <w:pPr>
        <w:spacing w:after="120" w:line="276" w:lineRule="auto"/>
        <w:rPr>
          <w:rFonts w:ascii="Tahoma" w:hAnsi="Tahoma" w:cs="Tahoma"/>
          <w:b/>
          <w:iCs/>
          <w:sz w:val="20"/>
          <w:szCs w:val="22"/>
        </w:rPr>
      </w:pPr>
    </w:p>
    <w:sectPr w:rsidR="00301CC9" w:rsidRPr="00BC4687" w:rsidSect="00253B96">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429" w:rsidRDefault="00076429">
      <w:r>
        <w:separator/>
      </w:r>
    </w:p>
    <w:p w:rsidR="00076429" w:rsidRDefault="00076429"/>
  </w:endnote>
  <w:endnote w:type="continuationSeparator" w:id="0">
    <w:p w:rsidR="00076429" w:rsidRDefault="00076429">
      <w:r>
        <w:continuationSeparator/>
      </w:r>
    </w:p>
    <w:p w:rsidR="00076429" w:rsidRDefault="00076429"/>
    <w:p w:rsidR="00076429" w:rsidRDefault="00076429">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F7" w:rsidRDefault="00076429">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627624">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627624">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ED43E7" w:rsidRPr="00ED43E7" w:rsidRDefault="007A500E" w:rsidP="00ED43E7">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ED43E7" w:rsidRPr="00ED43E7">
      <w:rPr>
        <w:rFonts w:ascii="Verdana" w:hAnsi="Verdana" w:cs="Tahoma"/>
        <w:bCs/>
        <w:color w:val="000000"/>
        <w:sz w:val="18"/>
        <w:szCs w:val="18"/>
        <w:shd w:val="clear" w:color="auto" w:fill="FFFFFF"/>
      </w:rPr>
      <w:t>OPA/Hal/202</w:t>
    </w:r>
    <w:r w:rsidR="007471D2">
      <w:rPr>
        <w:rFonts w:ascii="Verdana" w:hAnsi="Verdana" w:cs="Tahoma"/>
        <w:bCs/>
        <w:color w:val="000000"/>
        <w:sz w:val="18"/>
        <w:szCs w:val="18"/>
        <w:shd w:val="clear" w:color="auto" w:fill="FFFFFF"/>
      </w:rPr>
      <w:t>5</w:t>
    </w:r>
    <w:r w:rsidR="00ED43E7" w:rsidRPr="00ED43E7">
      <w:rPr>
        <w:rFonts w:ascii="Verdana" w:hAnsi="Verdana" w:cs="Tahoma"/>
        <w:bCs/>
        <w:color w:val="000000"/>
        <w:sz w:val="18"/>
        <w:szCs w:val="18"/>
        <w:shd w:val="clear" w:color="auto" w:fill="FFFFFF"/>
      </w:rPr>
      <w:t>/</w:t>
    </w:r>
    <w:r w:rsidR="00D34782">
      <w:rPr>
        <w:rFonts w:ascii="Verdana" w:hAnsi="Verdana" w:cs="Tahoma"/>
        <w:bCs/>
        <w:color w:val="000000"/>
        <w:sz w:val="18"/>
        <w:szCs w:val="18"/>
        <w:shd w:val="clear" w:color="auto" w:fill="FFFFFF"/>
      </w:rPr>
      <w:t>1</w:t>
    </w:r>
    <w:r w:rsidR="007471D2">
      <w:rPr>
        <w:rFonts w:ascii="Verdana" w:hAnsi="Verdana" w:cs="Tahoma"/>
        <w:bCs/>
        <w:color w:val="000000"/>
        <w:sz w:val="18"/>
        <w:szCs w:val="18"/>
        <w:shd w:val="clear" w:color="auto" w:fill="FFFFFF"/>
      </w:rPr>
      <w:t>2</w:t>
    </w:r>
    <w:r w:rsidR="00ED43E7" w:rsidRPr="00ED43E7">
      <w:rPr>
        <w:rFonts w:ascii="Verdana" w:hAnsi="Verdana" w:cs="Tahoma"/>
        <w:bCs/>
        <w:color w:val="000000"/>
        <w:sz w:val="18"/>
        <w:szCs w:val="18"/>
        <w:shd w:val="clear" w:color="auto" w:fill="FFFFFF"/>
      </w:rPr>
      <w:t>/</w:t>
    </w:r>
    <w:r w:rsidR="00BF78B2">
      <w:rPr>
        <w:rFonts w:ascii="Verdana" w:hAnsi="Verdana" w:cs="Tahoma"/>
        <w:bCs/>
        <w:color w:val="000000"/>
        <w:sz w:val="18"/>
        <w:szCs w:val="18"/>
        <w:shd w:val="clear" w:color="auto" w:fill="FFFFFF"/>
      </w:rPr>
      <w:t>netkané textilie</w:t>
    </w:r>
  </w:p>
  <w:p w:rsidR="00B80A3B" w:rsidRPr="00914815" w:rsidRDefault="00B80A3B" w:rsidP="00B80A3B">
    <w:pPr>
      <w:pStyle w:val="Zpat"/>
      <w:tabs>
        <w:tab w:val="clear" w:pos="9072"/>
        <w:tab w:val="right" w:pos="9498"/>
      </w:tabs>
      <w:jc w:val="right"/>
      <w:rPr>
        <w:rFonts w:ascii="Verdana" w:hAnsi="Verdana"/>
        <w:color w:val="808080"/>
        <w:sz w:val="18"/>
        <w:szCs w:val="18"/>
      </w:rPr>
    </w:pP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AF" w:rsidRDefault="005A6BAF">
    <w:pPr>
      <w:pStyle w:val="Zpat"/>
      <w:jc w:val="center"/>
    </w:pPr>
  </w:p>
  <w:p w:rsidR="005A6BAF" w:rsidRDefault="00076429">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627624">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429" w:rsidRDefault="00076429">
      <w:r>
        <w:separator/>
      </w:r>
    </w:p>
    <w:p w:rsidR="00076429" w:rsidRDefault="00076429"/>
  </w:footnote>
  <w:footnote w:type="continuationSeparator" w:id="0">
    <w:p w:rsidR="00076429" w:rsidRDefault="00076429">
      <w:r>
        <w:continuationSeparator/>
      </w:r>
    </w:p>
    <w:p w:rsidR="00076429" w:rsidRDefault="00076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71" w:rsidRPr="004F7571" w:rsidRDefault="004F7571">
    <w:pPr>
      <w:pStyle w:val="Zhlav"/>
      <w:rPr>
        <w:rFonts w:ascii="Verdana" w:hAnsi="Verdana"/>
        <w:sz w:val="18"/>
        <w:szCs w:val="18"/>
      </w:rPr>
    </w:pPr>
    <w:r w:rsidRPr="004F7571">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D07BF"/>
    <w:multiLevelType w:val="hybridMultilevel"/>
    <w:tmpl w:val="997822C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DF267C"/>
    <w:multiLevelType w:val="hybridMultilevel"/>
    <w:tmpl w:val="137CD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DC4C9D"/>
    <w:multiLevelType w:val="multilevel"/>
    <w:tmpl w:val="ED28C516"/>
    <w:lvl w:ilvl="0">
      <w:start w:val="1"/>
      <w:numFmt w:val="decimal"/>
      <w:lvlText w:val="%1."/>
      <w:lvlJc w:val="left"/>
      <w:pPr>
        <w:tabs>
          <w:tab w:val="num" w:pos="283"/>
        </w:tabs>
        <w:ind w:left="0" w:firstLine="0"/>
      </w:pPr>
      <w:rPr>
        <w:rFonts w:cs="Times New Roman"/>
        <w:strike w:val="0"/>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2" w15:restartNumberingAfterBreak="0">
    <w:nsid w:val="2C131EF0"/>
    <w:multiLevelType w:val="hybridMultilevel"/>
    <w:tmpl w:val="089C8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E85EBB"/>
    <w:multiLevelType w:val="multilevel"/>
    <w:tmpl w:val="EB90A408"/>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9"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E40F8D"/>
    <w:multiLevelType w:val="hybridMultilevel"/>
    <w:tmpl w:val="8172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2226B4"/>
    <w:multiLevelType w:val="hybridMultilevel"/>
    <w:tmpl w:val="C70C8E7C"/>
    <w:lvl w:ilvl="0" w:tplc="AB5C73A0">
      <w:start w:val="1"/>
      <w:numFmt w:val="lowerLetter"/>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CD679B1"/>
    <w:multiLevelType w:val="hybridMultilevel"/>
    <w:tmpl w:val="1A020952"/>
    <w:lvl w:ilvl="0" w:tplc="126882A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19"/>
  </w:num>
  <w:num w:numId="4">
    <w:abstractNumId w:val="13"/>
  </w:num>
  <w:num w:numId="5">
    <w:abstractNumId w:val="26"/>
  </w:num>
  <w:num w:numId="6">
    <w:abstractNumId w:val="10"/>
  </w:num>
  <w:num w:numId="7">
    <w:abstractNumId w:val="14"/>
  </w:num>
  <w:num w:numId="8">
    <w:abstractNumId w:val="22"/>
  </w:num>
  <w:num w:numId="9">
    <w:abstractNumId w:val="17"/>
  </w:num>
  <w:num w:numId="10">
    <w:abstractNumId w:val="24"/>
  </w:num>
  <w:num w:numId="11">
    <w:abstractNumId w:val="16"/>
  </w:num>
  <w:num w:numId="12">
    <w:abstractNumId w:val="20"/>
  </w:num>
  <w:num w:numId="13">
    <w:abstractNumId w:val="18"/>
  </w:num>
  <w:num w:numId="14">
    <w:abstractNumId w:val="21"/>
  </w:num>
  <w:num w:numId="15">
    <w:abstractNumId w:val="23"/>
  </w:num>
  <w:num w:numId="16">
    <w:abstractNumId w:val="11"/>
  </w:num>
  <w:num w:numId="17">
    <w:abstractNumId w:val="28"/>
  </w:num>
  <w:num w:numId="18">
    <w:abstractNumId w:val="7"/>
  </w:num>
  <w:num w:numId="19">
    <w:abstractNumId w:val="15"/>
  </w:num>
  <w:num w:numId="20">
    <w:abstractNumId w:val="12"/>
  </w:num>
  <w:num w:numId="21">
    <w:abstractNumId w:val="27"/>
  </w:num>
  <w:num w:numId="22">
    <w:abstractNumId w:val="25"/>
  </w:num>
  <w:num w:numId="23">
    <w:abstractNumId w:val="29"/>
  </w:num>
  <w:num w:numId="24">
    <w:abstractNumId w:val="6"/>
  </w:num>
  <w:num w:numId="25">
    <w:abstractNumId w:val="4"/>
  </w:num>
  <w:num w:numId="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6429"/>
    <w:rsid w:val="000770A3"/>
    <w:rsid w:val="00081CC5"/>
    <w:rsid w:val="0009040E"/>
    <w:rsid w:val="00090870"/>
    <w:rsid w:val="00096F08"/>
    <w:rsid w:val="0009733E"/>
    <w:rsid w:val="00097BF4"/>
    <w:rsid w:val="000A26FC"/>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1D37"/>
    <w:rsid w:val="0025218D"/>
    <w:rsid w:val="00253B96"/>
    <w:rsid w:val="00256274"/>
    <w:rsid w:val="002565C7"/>
    <w:rsid w:val="00260ACB"/>
    <w:rsid w:val="0026234B"/>
    <w:rsid w:val="00263E0B"/>
    <w:rsid w:val="00264C47"/>
    <w:rsid w:val="002675F3"/>
    <w:rsid w:val="002752E9"/>
    <w:rsid w:val="00275F1C"/>
    <w:rsid w:val="00276B9D"/>
    <w:rsid w:val="00281D7A"/>
    <w:rsid w:val="002839BB"/>
    <w:rsid w:val="002901C9"/>
    <w:rsid w:val="002A3A16"/>
    <w:rsid w:val="002A48FD"/>
    <w:rsid w:val="002A4BF3"/>
    <w:rsid w:val="002A7324"/>
    <w:rsid w:val="002B039D"/>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50B0"/>
    <w:rsid w:val="005B654B"/>
    <w:rsid w:val="005B717A"/>
    <w:rsid w:val="005C01DF"/>
    <w:rsid w:val="005C140B"/>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27624"/>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26A61"/>
    <w:rsid w:val="007304AB"/>
    <w:rsid w:val="00731933"/>
    <w:rsid w:val="00732366"/>
    <w:rsid w:val="00732411"/>
    <w:rsid w:val="0073300A"/>
    <w:rsid w:val="0073772C"/>
    <w:rsid w:val="007415BD"/>
    <w:rsid w:val="0074247C"/>
    <w:rsid w:val="007440D2"/>
    <w:rsid w:val="00744941"/>
    <w:rsid w:val="007471D2"/>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2D3"/>
    <w:rsid w:val="0079479E"/>
    <w:rsid w:val="00794B3F"/>
    <w:rsid w:val="007A05EA"/>
    <w:rsid w:val="007A41F0"/>
    <w:rsid w:val="007A4297"/>
    <w:rsid w:val="007A500E"/>
    <w:rsid w:val="007A5974"/>
    <w:rsid w:val="007A6A2D"/>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54F6"/>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D77F5"/>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2CA9"/>
    <w:rsid w:val="0095429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C5B29"/>
    <w:rsid w:val="009D444F"/>
    <w:rsid w:val="009D5FD1"/>
    <w:rsid w:val="009D6297"/>
    <w:rsid w:val="009D79CA"/>
    <w:rsid w:val="009D7FEE"/>
    <w:rsid w:val="009E01EC"/>
    <w:rsid w:val="009E0D35"/>
    <w:rsid w:val="009E2A6D"/>
    <w:rsid w:val="009E2A99"/>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8B2"/>
    <w:rsid w:val="00BF7F89"/>
    <w:rsid w:val="00C05F12"/>
    <w:rsid w:val="00C14621"/>
    <w:rsid w:val="00C14E4F"/>
    <w:rsid w:val="00C1658F"/>
    <w:rsid w:val="00C176D0"/>
    <w:rsid w:val="00C20471"/>
    <w:rsid w:val="00C20853"/>
    <w:rsid w:val="00C21325"/>
    <w:rsid w:val="00C2492B"/>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0118"/>
    <w:rsid w:val="00CB1D20"/>
    <w:rsid w:val="00CB1FE4"/>
    <w:rsid w:val="00CB6D67"/>
    <w:rsid w:val="00CC05F4"/>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34782"/>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022C"/>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3E3E"/>
    <w:rsid w:val="00DA403F"/>
    <w:rsid w:val="00DA6F05"/>
    <w:rsid w:val="00DA6FE2"/>
    <w:rsid w:val="00DB326F"/>
    <w:rsid w:val="00DB3D19"/>
    <w:rsid w:val="00DB69A9"/>
    <w:rsid w:val="00DC7782"/>
    <w:rsid w:val="00DD23F1"/>
    <w:rsid w:val="00DE0323"/>
    <w:rsid w:val="00DE3C58"/>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5F6B"/>
    <w:rsid w:val="00EE7BF9"/>
    <w:rsid w:val="00EF1090"/>
    <w:rsid w:val="00EF1BE0"/>
    <w:rsid w:val="00EF4EBC"/>
    <w:rsid w:val="00F01033"/>
    <w:rsid w:val="00F02078"/>
    <w:rsid w:val="00F024A3"/>
    <w:rsid w:val="00F03CC0"/>
    <w:rsid w:val="00F04C78"/>
    <w:rsid w:val="00F0576A"/>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0A9B"/>
    <w:rsid w:val="00FA6687"/>
    <w:rsid w:val="00FB3D20"/>
    <w:rsid w:val="00FB3FDF"/>
    <w:rsid w:val="00FB47DA"/>
    <w:rsid w:val="00FB4B32"/>
    <w:rsid w:val="00FB5EC9"/>
    <w:rsid w:val="00FB6F76"/>
    <w:rsid w:val="00FC1FE9"/>
    <w:rsid w:val="00FC472D"/>
    <w:rsid w:val="00FC4FDC"/>
    <w:rsid w:val="00FC57A4"/>
    <w:rsid w:val="00FC6010"/>
    <w:rsid w:val="00FD3356"/>
    <w:rsid w:val="00FD61D4"/>
    <w:rsid w:val="00FE75AC"/>
    <w:rsid w:val="00FE79D2"/>
    <w:rsid w:val="00FF0098"/>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56393F-90A8-46C9-9FCC-87B9AD3C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26792136">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71B2-BA73-428F-BF81-0DC1B48D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2431</Words>
  <Characters>14349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4</cp:revision>
  <cp:lastPrinted>2025-04-25T07:52:00Z</cp:lastPrinted>
  <dcterms:created xsi:type="dcterms:W3CDTF">2025-04-25T08:16:00Z</dcterms:created>
  <dcterms:modified xsi:type="dcterms:W3CDTF">2025-04-25T10:56:00Z</dcterms:modified>
</cp:coreProperties>
</file>