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BDD3" w14:textId="0D0AF477" w:rsidR="005011CD" w:rsidRPr="003369D6" w:rsidRDefault="005011CD" w:rsidP="003369D6">
      <w:pPr>
        <w:jc w:val="center"/>
        <w:rPr>
          <w:b/>
          <w:bCs/>
          <w:sz w:val="24"/>
          <w:szCs w:val="24"/>
        </w:rPr>
      </w:pPr>
      <w:bookmarkStart w:id="0" w:name="_Hlk183525024"/>
      <w:r w:rsidRPr="003369D6">
        <w:rPr>
          <w:b/>
          <w:bCs/>
          <w:sz w:val="24"/>
          <w:szCs w:val="24"/>
        </w:rPr>
        <w:t>Příloha č. 6 zadávací dokumentace k veřejné zakázce</w:t>
      </w:r>
    </w:p>
    <w:p w14:paraId="544639FE" w14:textId="6A8DD022" w:rsidR="005011CD" w:rsidRPr="003369D6" w:rsidRDefault="00047FD5" w:rsidP="003369D6">
      <w:pPr>
        <w:jc w:val="center"/>
        <w:rPr>
          <w:b/>
          <w:bCs/>
          <w:sz w:val="24"/>
          <w:szCs w:val="24"/>
        </w:rPr>
      </w:pPr>
      <w:r w:rsidRPr="00A91929">
        <w:rPr>
          <w:rFonts w:cs="Arial"/>
          <w:b/>
          <w:sz w:val="24"/>
        </w:rPr>
        <w:t>ROZŠÍŘENÍ OCHRANY INTERNÍCH ZÓN POMOCÍ NOVÝCH FIREWALL</w:t>
      </w:r>
    </w:p>
    <w:p w14:paraId="252BA628" w14:textId="77777777" w:rsidR="005011CD" w:rsidRPr="005011CD" w:rsidRDefault="005011CD" w:rsidP="003369D6"/>
    <w:p w14:paraId="1692210E" w14:textId="77777777" w:rsidR="005011CD" w:rsidRPr="005011CD" w:rsidRDefault="005011CD" w:rsidP="003369D6"/>
    <w:p w14:paraId="7F0AC55D" w14:textId="77777777" w:rsidR="005011CD" w:rsidRPr="005011CD" w:rsidRDefault="005011CD" w:rsidP="003369D6"/>
    <w:p w14:paraId="5B42723A" w14:textId="77777777" w:rsidR="005011CD" w:rsidRPr="005011CD" w:rsidRDefault="005011CD" w:rsidP="003369D6"/>
    <w:p w14:paraId="1F24F536" w14:textId="77777777" w:rsidR="005011CD" w:rsidRPr="005011CD" w:rsidRDefault="005011CD" w:rsidP="003369D6"/>
    <w:p w14:paraId="67DFDFCC" w14:textId="77777777" w:rsidR="005011CD" w:rsidRPr="003369D6" w:rsidRDefault="005011CD" w:rsidP="003369D6">
      <w:pPr>
        <w:jc w:val="center"/>
        <w:rPr>
          <w:b/>
          <w:bCs/>
          <w:sz w:val="28"/>
          <w:szCs w:val="28"/>
        </w:rPr>
      </w:pPr>
      <w:r w:rsidRPr="003369D6">
        <w:rPr>
          <w:b/>
          <w:bCs/>
          <w:sz w:val="28"/>
          <w:szCs w:val="28"/>
        </w:rPr>
        <w:t>TECHNICKÁ SPECIFIKACE</w:t>
      </w:r>
    </w:p>
    <w:p w14:paraId="12998462" w14:textId="77777777" w:rsidR="005011CD" w:rsidRDefault="005011CD" w:rsidP="003369D6"/>
    <w:p w14:paraId="4131EA50" w14:textId="77777777" w:rsidR="005011CD" w:rsidRDefault="005011CD" w:rsidP="003369D6">
      <w:bookmarkStart w:id="1" w:name="_Hlk189641572"/>
      <w:bookmarkEnd w:id="0"/>
      <w:r>
        <w:br w:type="page"/>
      </w:r>
    </w:p>
    <w:p w14:paraId="71075928" w14:textId="2B66A416" w:rsidR="003369D6" w:rsidRPr="003369D6" w:rsidRDefault="003369D6" w:rsidP="003369D6">
      <w:pPr>
        <w:pStyle w:val="NadpisA"/>
      </w:pPr>
      <w:bookmarkStart w:id="2" w:name="_Hlk189641559"/>
      <w:bookmarkStart w:id="3" w:name="_Hlk183525074"/>
      <w:bookmarkEnd w:id="1"/>
      <w:r w:rsidRPr="003369D6">
        <w:lastRenderedPageBreak/>
        <w:t xml:space="preserve">POPIS POŽADAVKŮ </w:t>
      </w:r>
      <w:bookmarkStart w:id="4" w:name="_Toc189661065"/>
      <w:bookmarkEnd w:id="2"/>
    </w:p>
    <w:p w14:paraId="076C7F73" w14:textId="723186A5" w:rsidR="00640528" w:rsidRPr="003369D6" w:rsidRDefault="00BC63A3" w:rsidP="003369D6">
      <w:pPr>
        <w:pStyle w:val="Nadpis"/>
      </w:pPr>
      <w:r w:rsidRPr="003369D6">
        <w:t>Stávající stav</w:t>
      </w:r>
      <w:bookmarkEnd w:id="3"/>
      <w:bookmarkEnd w:id="4"/>
    </w:p>
    <w:p w14:paraId="4B4455EE" w14:textId="77777777" w:rsidR="00440228" w:rsidRDefault="00E26658" w:rsidP="00440228">
      <w:r w:rsidRPr="00592C46">
        <w:t>V současné době řeší veškerou komunikaci mezi interními sítěmi (</w:t>
      </w:r>
      <w:proofErr w:type="spellStart"/>
      <w:r w:rsidRPr="00592C46">
        <w:t>VLANy</w:t>
      </w:r>
      <w:proofErr w:type="spellEnd"/>
      <w:r w:rsidRPr="00592C46">
        <w:t xml:space="preserve">) dva hraniční firewally, pracující v režimu </w:t>
      </w:r>
      <w:proofErr w:type="spellStart"/>
      <w:r w:rsidRPr="00592C46">
        <w:t>active</w:t>
      </w:r>
      <w:proofErr w:type="spellEnd"/>
      <w:r w:rsidRPr="00592C46">
        <w:t>/</w:t>
      </w:r>
      <w:proofErr w:type="spellStart"/>
      <w:r w:rsidRPr="00592C46">
        <w:t>passive</w:t>
      </w:r>
      <w:proofErr w:type="spellEnd"/>
      <w:r w:rsidRPr="00592C46">
        <w:t>, které jsou umístěny po jednom v každém datovém centru a připojeny na páteřní přepínače.</w:t>
      </w:r>
    </w:p>
    <w:p w14:paraId="36A5CF57" w14:textId="5963230B" w:rsidR="001552F4" w:rsidRPr="000A2B0C" w:rsidRDefault="001552F4" w:rsidP="00440228">
      <w:r>
        <w:rPr>
          <w:noProof/>
          <w:lang w:eastAsia="cs-CZ"/>
        </w:rPr>
        <w:drawing>
          <wp:inline distT="0" distB="0" distL="0" distR="0" wp14:anchorId="0AFB35EE" wp14:editId="62509831">
            <wp:extent cx="5074920" cy="3205389"/>
            <wp:effectExtent l="0" t="0" r="0" b="0"/>
            <wp:docPr id="580791657" name="Obrázek 255" descr="Obsah obrázku text, snímek obrazovky, diagram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91657" name="Obrázek 255" descr="Obsah obrázku text, snímek obrazovky, diagram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90" cy="32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00CB" w14:textId="77777777" w:rsidR="001552F4" w:rsidRPr="000A2B0C" w:rsidRDefault="001552F4" w:rsidP="001552F4">
      <w:pPr>
        <w:jc w:val="center"/>
        <w:rPr>
          <w:i/>
          <w:iCs/>
        </w:rPr>
      </w:pPr>
      <w:r w:rsidRPr="000A2B0C">
        <w:rPr>
          <w:i/>
          <w:iCs/>
          <w:sz w:val="18"/>
          <w:szCs w:val="18"/>
        </w:rPr>
        <w:t>Schéma č. 1: Popis aktuálního stavu</w:t>
      </w:r>
    </w:p>
    <w:p w14:paraId="37AD30E3" w14:textId="51B50906" w:rsidR="00640528" w:rsidRDefault="00640528" w:rsidP="003369D6"/>
    <w:p w14:paraId="77C0A308" w14:textId="77777777" w:rsidR="003369D6" w:rsidRDefault="003369D6" w:rsidP="003369D6"/>
    <w:p w14:paraId="39D3560E" w14:textId="77777777" w:rsidR="001552F4" w:rsidRDefault="001552F4" w:rsidP="001552F4">
      <w:pPr>
        <w:pStyle w:val="Nadpis"/>
      </w:pPr>
      <w:r>
        <w:t>Požadovaný stav</w:t>
      </w:r>
    </w:p>
    <w:p w14:paraId="09F190A6" w14:textId="50D6C0EC" w:rsidR="001552F4" w:rsidRDefault="00E26658" w:rsidP="00E26658">
      <w:pPr>
        <w:rPr>
          <w:i/>
          <w:iCs/>
          <w:sz w:val="18"/>
          <w:szCs w:val="18"/>
        </w:rPr>
      </w:pPr>
      <w:r w:rsidRPr="00592C46">
        <w:t xml:space="preserve">Počítačová síť bude doplněna o dva segmentační firewally pracující v režimu </w:t>
      </w:r>
      <w:proofErr w:type="spellStart"/>
      <w:r w:rsidRPr="00592C46">
        <w:t>active</w:t>
      </w:r>
      <w:proofErr w:type="spellEnd"/>
      <w:r w:rsidRPr="00592C46">
        <w:t>/</w:t>
      </w:r>
      <w:proofErr w:type="spellStart"/>
      <w:r w:rsidRPr="00592C46">
        <w:t>active</w:t>
      </w:r>
      <w:proofErr w:type="spellEnd"/>
      <w:r w:rsidRPr="00592C46">
        <w:t>, které budou umístěny opět po jednom v každém datovém centru a připojeny na páteřní přepínače. Budou zajišťovat veškerou komunikaci mezi interními sítěmi a převezmou tak tuto roli z hraničních firewallů</w:t>
      </w:r>
    </w:p>
    <w:p w14:paraId="249795E1" w14:textId="77777777" w:rsidR="001552F4" w:rsidRDefault="001552F4" w:rsidP="001552F4">
      <w:pPr>
        <w:jc w:val="center"/>
        <w:rPr>
          <w:i/>
          <w:iCs/>
          <w:sz w:val="18"/>
          <w:szCs w:val="18"/>
        </w:rPr>
      </w:pPr>
    </w:p>
    <w:p w14:paraId="37796BA8" w14:textId="77777777" w:rsidR="001552F4" w:rsidRDefault="001552F4" w:rsidP="001552F4">
      <w:pPr>
        <w:jc w:val="center"/>
        <w:rPr>
          <w:i/>
          <w:iCs/>
          <w:sz w:val="18"/>
          <w:szCs w:val="18"/>
        </w:rPr>
      </w:pPr>
      <w:r w:rsidRPr="000A2B0C">
        <w:rPr>
          <w:noProof/>
          <w:lang w:eastAsia="cs-CZ"/>
        </w:rPr>
        <w:lastRenderedPageBreak/>
        <w:drawing>
          <wp:inline distT="0" distB="0" distL="0" distR="0" wp14:anchorId="5C556F7D" wp14:editId="54A305C5">
            <wp:extent cx="5257800" cy="3623431"/>
            <wp:effectExtent l="0" t="0" r="3810" b="5715"/>
            <wp:docPr id="649167524" name="Obrázek 257" descr="Obsah obrázku text, diagram, snímek obrazovky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67524" name="Obrázek 257" descr="Obsah obrázku text, diagram, snímek obrazovky, Plá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2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2F4">
        <w:rPr>
          <w:i/>
          <w:iCs/>
          <w:sz w:val="18"/>
          <w:szCs w:val="18"/>
        </w:rPr>
        <w:t xml:space="preserve"> </w:t>
      </w:r>
    </w:p>
    <w:p w14:paraId="61FDC451" w14:textId="2ADA7292" w:rsidR="001552F4" w:rsidRPr="000A2B0C" w:rsidRDefault="001552F4" w:rsidP="001552F4">
      <w:pPr>
        <w:jc w:val="center"/>
        <w:rPr>
          <w:i/>
          <w:iCs/>
        </w:rPr>
      </w:pPr>
      <w:r w:rsidRPr="000A2B0C">
        <w:rPr>
          <w:i/>
          <w:iCs/>
          <w:sz w:val="18"/>
          <w:szCs w:val="18"/>
        </w:rPr>
        <w:t xml:space="preserve">Schéma č. </w:t>
      </w:r>
      <w:r>
        <w:rPr>
          <w:i/>
          <w:iCs/>
          <w:sz w:val="18"/>
          <w:szCs w:val="18"/>
        </w:rPr>
        <w:t>2</w:t>
      </w:r>
      <w:r w:rsidRPr="000A2B0C">
        <w:rPr>
          <w:i/>
          <w:iCs/>
          <w:sz w:val="18"/>
          <w:szCs w:val="18"/>
        </w:rPr>
        <w:t xml:space="preserve">: Popis </w:t>
      </w:r>
      <w:r>
        <w:rPr>
          <w:i/>
          <w:iCs/>
          <w:sz w:val="18"/>
          <w:szCs w:val="18"/>
        </w:rPr>
        <w:t xml:space="preserve">cílového </w:t>
      </w:r>
      <w:r w:rsidRPr="000A2B0C">
        <w:rPr>
          <w:i/>
          <w:iCs/>
          <w:sz w:val="18"/>
          <w:szCs w:val="18"/>
        </w:rPr>
        <w:t>stavu</w:t>
      </w:r>
    </w:p>
    <w:p w14:paraId="71CC1624" w14:textId="0C0AD951" w:rsidR="00640528" w:rsidRDefault="00640528" w:rsidP="001552F4"/>
    <w:p w14:paraId="49291508" w14:textId="77777777" w:rsidR="000438FE" w:rsidRDefault="000438FE" w:rsidP="003369D6"/>
    <w:p w14:paraId="319ACA58" w14:textId="77777777" w:rsidR="000438FE" w:rsidRDefault="000438FE" w:rsidP="003369D6">
      <w:pPr>
        <w:sectPr w:rsidR="000438FE" w:rsidSect="0072503E">
          <w:headerReference w:type="default" r:id="rId9"/>
          <w:footerReference w:type="default" r:id="rId10"/>
          <w:headerReference w:type="first" r:id="rId11"/>
          <w:pgSz w:w="11906" w:h="16838"/>
          <w:pgMar w:top="2127" w:right="1417" w:bottom="1276" w:left="1417" w:header="708" w:footer="492" w:gutter="0"/>
          <w:cols w:space="708"/>
          <w:formProt w:val="0"/>
          <w:docGrid w:linePitch="360"/>
        </w:sectPr>
      </w:pPr>
    </w:p>
    <w:p w14:paraId="58D3F530" w14:textId="77777777" w:rsidR="000438FE" w:rsidRDefault="000438FE" w:rsidP="003369D6"/>
    <w:p w14:paraId="1BD50C2E" w14:textId="55A7AF50" w:rsidR="00640528" w:rsidRDefault="003369D6" w:rsidP="003369D6">
      <w:pPr>
        <w:pStyle w:val="NadpisA"/>
      </w:pPr>
      <w:bookmarkStart w:id="5" w:name="_Toc140239587"/>
      <w:bookmarkStart w:id="6" w:name="_Toc189661073"/>
      <w:r>
        <w:t xml:space="preserve">POŽADOVANÉ VLASTNOSTI A FUNKCE </w:t>
      </w:r>
      <w:bookmarkEnd w:id="5"/>
      <w:bookmarkEnd w:id="6"/>
      <w:r w:rsidR="001552F4">
        <w:t>SEGMENTAČNÍCH FIREWALLŮ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8505"/>
        <w:gridCol w:w="1560"/>
        <w:gridCol w:w="1701"/>
      </w:tblGrid>
      <w:tr w:rsidR="003D5E88" w:rsidRPr="000A2B0C" w14:paraId="6FBECA3D" w14:textId="77777777" w:rsidTr="001552F4">
        <w:trPr>
          <w:trHeight w:val="576"/>
        </w:trPr>
        <w:tc>
          <w:tcPr>
            <w:tcW w:w="2263" w:type="dxa"/>
            <w:shd w:val="clear" w:color="auto" w:fill="D9D9D9" w:themeFill="background1" w:themeFillShade="D9"/>
            <w:hideMark/>
          </w:tcPr>
          <w:p w14:paraId="115B9F26" w14:textId="77777777" w:rsidR="003D5E88" w:rsidRPr="000A2B0C" w:rsidRDefault="003D5E88" w:rsidP="001378B5">
            <w:pPr>
              <w:spacing w:before="40" w:after="4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cs="Arial"/>
                <w:b/>
                <w:bCs/>
                <w:sz w:val="18"/>
                <w:szCs w:val="18"/>
              </w:rPr>
              <w:t>Kategorie vlastností</w:t>
            </w:r>
          </w:p>
        </w:tc>
        <w:tc>
          <w:tcPr>
            <w:tcW w:w="8505" w:type="dxa"/>
            <w:shd w:val="clear" w:color="auto" w:fill="D9D9D9" w:themeFill="background1" w:themeFillShade="D9"/>
            <w:hideMark/>
          </w:tcPr>
          <w:p w14:paraId="02F5395E" w14:textId="77777777" w:rsidR="003D5E88" w:rsidRPr="000A2B0C" w:rsidRDefault="003D5E88" w:rsidP="001378B5">
            <w:pPr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Požadovaný parametr nebo funkce</w:t>
            </w:r>
          </w:p>
        </w:tc>
        <w:tc>
          <w:tcPr>
            <w:tcW w:w="1560" w:type="dxa"/>
            <w:shd w:val="clear" w:color="auto" w:fill="D9D9D9" w:themeFill="background1" w:themeFillShade="D9"/>
            <w:hideMark/>
          </w:tcPr>
          <w:p w14:paraId="14A68658" w14:textId="77777777" w:rsidR="003D5E88" w:rsidRPr="000A2B0C" w:rsidRDefault="003D5E88" w:rsidP="001378B5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3369D6">
              <w:rPr>
                <w:rFonts w:cs="Arial"/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537CA47A" w14:textId="77777777" w:rsidR="003D5E88" w:rsidRPr="000A2B0C" w:rsidRDefault="003D5E88" w:rsidP="001378B5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Komentář</w:t>
            </w:r>
          </w:p>
        </w:tc>
      </w:tr>
      <w:tr w:rsidR="003B7754" w:rsidRPr="000A2B0C" w14:paraId="3FBBFA62" w14:textId="77777777" w:rsidTr="001378B5">
        <w:trPr>
          <w:trHeight w:val="288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14:paraId="056171E9" w14:textId="77777777" w:rsidR="003B7754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Segmentační firewall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  <w:p w14:paraId="065BB2E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(2 ks)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06EB887D" w14:textId="2F68D844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Provedení pro montáž do standardního 19" rozvaděče, včetně montážní sady.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DFCFD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35604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05B5C41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298152F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6158FE56" w14:textId="243C3D66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Maximální výška firewallu 2U.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207F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7E5E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828D122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2BEF1031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0D4CF4D5" w14:textId="0C8F927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Všechny porty (včetně portů pro správu a pro HA) musí být umístěny na přední straně firewallu.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59385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D42F5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5B181707" w14:textId="77777777" w:rsidTr="001378B5">
        <w:trPr>
          <w:trHeight w:val="58"/>
        </w:trPr>
        <w:tc>
          <w:tcPr>
            <w:tcW w:w="2263" w:type="dxa"/>
            <w:vMerge/>
            <w:hideMark/>
          </w:tcPr>
          <w:p w14:paraId="70EBC57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200438D5" w14:textId="715ED2D4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vysoké dostupnosti v režimu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active-active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i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active-passive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. Pokud tato funkce vyžaduje licenci, pak tato musí být součástí dodávky.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0516E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4D49E1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240DD34" w14:textId="77777777" w:rsidTr="001378B5">
        <w:trPr>
          <w:trHeight w:val="58"/>
        </w:trPr>
        <w:tc>
          <w:tcPr>
            <w:tcW w:w="2263" w:type="dxa"/>
            <w:vMerge/>
            <w:hideMark/>
          </w:tcPr>
          <w:p w14:paraId="46383CA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767C066B" w14:textId="52EE1F43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Správa všech zařízení pracujících v režimu vysoké dostupnosti musí probíhat jednotně přes společné grafické konfigurační rozhraní.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0F2DB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5955E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AA19C64" w14:textId="77777777" w:rsidTr="001378B5">
        <w:trPr>
          <w:trHeight w:val="206"/>
        </w:trPr>
        <w:tc>
          <w:tcPr>
            <w:tcW w:w="2263" w:type="dxa"/>
            <w:vMerge/>
            <w:hideMark/>
          </w:tcPr>
          <w:p w14:paraId="0D72D16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08D8617F" w14:textId="631E80F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Grafické konfigurační rozhraní pro správu celého clusteru, dostupné pomocí webového prohlížeče (HTTPS) bez omezení na počet administrátorů a bez nutnosti instalovat dodatečnou management platformu nebo aplikaci.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1000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0B03E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C532793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54F9A29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07E0254C" w14:textId="6692E01B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Minimálně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8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x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0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GbE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SFP+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39A4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43063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466695BA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1D22354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4463B166" w14:textId="0D06CB50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Minimálně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12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x 1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GbE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BASE-T (RJ-45)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997B8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2401D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D0BB945" w14:textId="77777777" w:rsidTr="001378B5">
        <w:trPr>
          <w:trHeight w:val="58"/>
        </w:trPr>
        <w:tc>
          <w:tcPr>
            <w:tcW w:w="2263" w:type="dxa"/>
            <w:vMerge/>
            <w:hideMark/>
          </w:tcPr>
          <w:p w14:paraId="688AE28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332031DA" w14:textId="52539CF3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HA port(y), pokud jsou vyhrazeny pro tento účel, musí podporovat SFP nebo SFP+ moduly pro zajištění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propoje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pomocí optických vláken (k dispozici jsou MM i SM vlákna), součástí dodávky musí být i potřebné optické moduly.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253A81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25D8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52F35C5" w14:textId="77777777" w:rsidTr="001378B5">
        <w:trPr>
          <w:trHeight w:val="58"/>
        </w:trPr>
        <w:tc>
          <w:tcPr>
            <w:tcW w:w="2263" w:type="dxa"/>
            <w:vMerge/>
            <w:hideMark/>
          </w:tcPr>
          <w:p w14:paraId="45CF7E1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4425BD55" w14:textId="5F3E1AEA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Pokud zařízení nemá vyhrazené HA porty, navyšuje se požadavek na minimální počet portů příslušného typu o počet portů nutných k zajištění funkce HA.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D327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E57E6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74FE305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5F2EA62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BA9DD7F" w14:textId="2236E09F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Konzolový port pro management.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A3201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13BD3F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5741BBFE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6EC4F51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4FAFE4C" w14:textId="68B4A8F6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Dedikovaný port RJ-45 pro management.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A712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D44401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E692769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0FD5F31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DDC7255" w14:textId="4E86BF63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Redundantní, za provozu vyměnitelné napájecí zdroje 230V AC.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1AF5B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50D78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2CEDB7D2" w14:textId="77777777" w:rsidTr="001378B5">
        <w:trPr>
          <w:trHeight w:val="87"/>
        </w:trPr>
        <w:tc>
          <w:tcPr>
            <w:tcW w:w="2263" w:type="dxa"/>
            <w:vMerge/>
            <w:hideMark/>
          </w:tcPr>
          <w:p w14:paraId="2319F18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3554017E" w14:textId="33E0BC10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Platforma postavená na HW akcelerované architektuře (tj. zařízení vybavené specializovanými obvody FPGA/ASIC pro zpracování komunikace a vybraných výpočetně náročných funkcí (firewall, SSL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dekrypce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, porovnávání s databází signatur apod.).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A07C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984DC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53BEC7E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36B1C0E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5C42B1BD" w14:textId="1921C731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Zařízení může pracovat buď v L2 režimu (transparentní režim inspekce) nebo L3 režimu (NAT/router režim s inspekcí).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98C9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83F431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21F5C42C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46EC7EC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79C9874A" w14:textId="13AA82D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překladu adres (NAT).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815A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34D3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4F2735E9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6C737E4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25BFA59C" w14:textId="1420153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Modul funkce ochrany před škodlivým kódem s databází vzorků škodlivého kódu pravidelně aktualizovanou výrobcem, detekce komunikace do sítí typu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botnet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(minimálně na základě IP adres a domén, databáze automaticky aktualizované výrobcem).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1206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85A56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7263388" w14:textId="77777777" w:rsidTr="003B7754">
        <w:trPr>
          <w:trHeight w:val="262"/>
        </w:trPr>
        <w:tc>
          <w:tcPr>
            <w:tcW w:w="2263" w:type="dxa"/>
            <w:vMerge/>
            <w:hideMark/>
          </w:tcPr>
          <w:p w14:paraId="2E4C0F2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36EE0709" w14:textId="2DD9E346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Funkce rozpoznávání populárních síťových aplikací na základě jejich charakteristiky provozu na aplikační vrstvě, pravidelná aktualizace signatur aplikací výrobcem, aplikace rozděleny do přehledných kategorií, možnost vytvářet definice pro vlastní aplikace.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90C32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9AA12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394AB8C" w14:textId="77777777" w:rsidTr="003B7754">
        <w:trPr>
          <w:trHeight w:val="58"/>
        </w:trPr>
        <w:tc>
          <w:tcPr>
            <w:tcW w:w="2263" w:type="dxa"/>
            <w:vMerge/>
            <w:hideMark/>
          </w:tcPr>
          <w:p w14:paraId="3F93CFB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24952548" w14:textId="1AF0D28B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Funkce ochrany před síťovými útoky (IPS) s výrobcem aktualizovanou databází, přednastavenými profily, možností definovat různé profily na různý druh komunikace, možnost vytvářet vlastní signatury, integrovaný anomální filtr a mechanismus kontroly validity vybraných protokolů.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407A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66A35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40B2FB6B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2986187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18664C5A" w14:textId="23C9D75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Funkce dynamického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routingu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(min. BGP, OSPF, RIP, PIM), pokud jsou tyto funkce licencované, pak licence musí být součástí dodávky.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8BE37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A27D7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E7773F9" w14:textId="77777777" w:rsidTr="003B7754">
        <w:trPr>
          <w:trHeight w:val="189"/>
        </w:trPr>
        <w:tc>
          <w:tcPr>
            <w:tcW w:w="2263" w:type="dxa"/>
            <w:vMerge/>
            <w:hideMark/>
          </w:tcPr>
          <w:p w14:paraId="2D640785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71815660" w14:textId="115805D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Funkce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QoS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traffic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shaping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rate-limiting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pro jednotlivé aplikace.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DB91A5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F28A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42212A0B" w14:textId="77777777" w:rsidTr="003B7754">
        <w:trPr>
          <w:trHeight w:val="58"/>
        </w:trPr>
        <w:tc>
          <w:tcPr>
            <w:tcW w:w="2263" w:type="dxa"/>
            <w:vMerge/>
            <w:hideMark/>
          </w:tcPr>
          <w:p w14:paraId="17A8E11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44D0DE37" w14:textId="78E40681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automatické karantény klientů klasifikovaných firewallem jako problematické.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E9C52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3DA64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3519778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0D56B4A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525D172D" w14:textId="5EDA6C10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Všechny provozní funkce musí být dostupné pro protokoly IPv4 i IPv6.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EEF2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39111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827767E" w14:textId="77777777" w:rsidTr="003B7754">
        <w:trPr>
          <w:trHeight w:val="83"/>
        </w:trPr>
        <w:tc>
          <w:tcPr>
            <w:tcW w:w="2263" w:type="dxa"/>
            <w:vMerge/>
            <w:hideMark/>
          </w:tcPr>
          <w:p w14:paraId="3C2C909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14B3BAF6" w14:textId="7C707C8C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virtuálních LAN dle IEEE 802.1Q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83B7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AF3F9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2FD0ECFA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4CF9BC8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23C27171" w14:textId="13D00D6C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agregace více portů s využitím protokolu LACP (Link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Aggregation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Control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 dle IEEE 802.3ad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6D33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60E22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0DFB396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7D20017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4FE63456" w14:textId="4555E4D5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zabezpečeného monitorování pomocí protokolu SNMPv3 (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Simple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Network Management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Protocol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2A0E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4B48F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4A6039E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20F9289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1197951C" w14:textId="3475B22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odesílání log zpráv na externí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syslog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server.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0072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E8F23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803A56C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6FE565F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4E859CF5" w14:textId="223F9C7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Podpora analýzy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síťového provozu (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Netflow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nebo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sFlow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nebo IPFIX)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32FF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39263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737CA91" w14:textId="77777777" w:rsidTr="000C447D">
        <w:trPr>
          <w:trHeight w:val="288"/>
        </w:trPr>
        <w:tc>
          <w:tcPr>
            <w:tcW w:w="2263" w:type="dxa"/>
            <w:vMerge/>
            <w:hideMark/>
          </w:tcPr>
          <w:p w14:paraId="3EEE08AF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CD00381" w14:textId="7D6354F4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Minimální požadovaná propustnost firewallu pro IPv4 i IPv6 provoz je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na 64B paketech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68 Gbps.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3553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8E14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3E044441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6263121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0DB9C809" w14:textId="66BF03E8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Při měření na provozu tvořeným mixem různě velkých paketů, nebo při měření na malých (64B) paketech, nesmí výkonnost poklesnout pod 50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%.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3BC64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276C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5710214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44BB4AC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603093FA" w14:textId="4905D171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Latence FW pod 5 µs.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A9B5F0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B5830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58A0DC30" w14:textId="77777777" w:rsidTr="000C447D">
        <w:trPr>
          <w:trHeight w:val="312"/>
        </w:trPr>
        <w:tc>
          <w:tcPr>
            <w:tcW w:w="2263" w:type="dxa"/>
            <w:vMerge/>
            <w:hideMark/>
          </w:tcPr>
          <w:p w14:paraId="3B69A53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5EF4E52F" w14:textId="7F40C70B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Počet současně navázaný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ch spojení firewallu minimálně 7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M, počet nových spojení za sekundu minimálně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45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0k.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09159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8F0433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00001BA" w14:textId="77777777" w:rsidTr="003B7754">
        <w:trPr>
          <w:trHeight w:val="58"/>
        </w:trPr>
        <w:tc>
          <w:tcPr>
            <w:tcW w:w="2263" w:type="dxa"/>
            <w:vMerge/>
            <w:hideMark/>
          </w:tcPr>
          <w:p w14:paraId="2E2BF81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67D9CF0A" w14:textId="7320FFE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Propustnost funkcí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next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generation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firewallu (stavový firewall, IPS, analýza aplikací) minimálně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8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.5 Gbps (měřeno na provozu simulujícím reálnou komunikaci/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real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world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traffic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8AB6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04FA3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5C31F9C" w14:textId="77777777" w:rsidTr="003B7754">
        <w:trPr>
          <w:trHeight w:val="288"/>
        </w:trPr>
        <w:tc>
          <w:tcPr>
            <w:tcW w:w="2263" w:type="dxa"/>
            <w:vMerge/>
            <w:hideMark/>
          </w:tcPr>
          <w:p w14:paraId="1B4EE5B5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3CCF1FE1" w14:textId="540569ED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Propustnost funkcí ochrany před škodlivým kódem (stavový firewall, IPS, analýza aplikací, ochrana před škodlivým kódem) minimálně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8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Gbps (měřeno na provozu simulujícím reálnou komunikaci/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real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world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traffic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6DB2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12F80F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74940AC" w14:textId="77777777" w:rsidTr="003B7754">
        <w:trPr>
          <w:trHeight w:val="58"/>
        </w:trPr>
        <w:tc>
          <w:tcPr>
            <w:tcW w:w="2263" w:type="dxa"/>
            <w:vMerge/>
            <w:hideMark/>
          </w:tcPr>
          <w:p w14:paraId="29A0541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</w:tcPr>
          <w:p w14:paraId="06C643C8" w14:textId="6EBD876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Schopnost staticky definovat filtrační síťová pravidla do FW (ACL).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31230" w14:textId="3223B768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DC706" w14:textId="2BD48A7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B7754" w:rsidRPr="000A2B0C" w14:paraId="5955042A" w14:textId="77777777" w:rsidTr="001378B5">
        <w:trPr>
          <w:trHeight w:val="658"/>
        </w:trPr>
        <w:tc>
          <w:tcPr>
            <w:tcW w:w="2263" w:type="dxa"/>
            <w:shd w:val="clear" w:color="auto" w:fill="auto"/>
            <w:noWrap/>
            <w:hideMark/>
          </w:tcPr>
          <w:p w14:paraId="05EB6F2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lastRenderedPageBreak/>
              <w:t>Připojení k páteřním prvkům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3414F155" w14:textId="559CA3EB" w:rsidR="003B7754" w:rsidRPr="000A2B0C" w:rsidRDefault="003B7754" w:rsidP="003B7754">
            <w:pPr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Propoje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o minimální kapacitě 20 Gbps z každého segmentačního firewallu do páteřních switchů v každém datovém centru, součástí dodávky musí být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odpovídající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optické transce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i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very kompatibilní s nabízeným zařízením a optické patch kabely pro SM optiku (OS2, délka 5m), optická vlákna jsou zakončena na SC konektorech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7B178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19098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3714C909" w14:textId="77777777" w:rsidTr="001378B5">
        <w:trPr>
          <w:trHeight w:val="288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14:paraId="2D8D9D25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 xml:space="preserve">Připojení ke </w:t>
            </w:r>
            <w:proofErr w:type="spellStart"/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switchům</w:t>
            </w:r>
            <w:proofErr w:type="spellEnd"/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 xml:space="preserve"> pro servery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2CD25EC6" w14:textId="17D70C1E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6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x 10G SFP+ modul pro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multimode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optiku, kompatibilní s nabízeným firewallem (připojení switchů pro servery)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A8C9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0AC0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07590F8F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33712A1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768D408" w14:textId="717A1C81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x 10G SFP+ modul pro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singlemode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optiku, kompatibilní s nabízeným firewallem (připojení switchů pro servery)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AED4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E9E3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AE9D13A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7EB6976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3DDBE619" w14:textId="64828BBC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4x optický duplexní patch kabel LC-LC OM4 délka 5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171B3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7C919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D4BD2C3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270C7E9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2560CBCF" w14:textId="10C49856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4x optický duplexní patch kabel LC-SC OM4 délka 5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7881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AC7D33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64C1BF9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00E1566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5FBBDBBF" w14:textId="78FD1B79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2x optický duplexní patch kabel SC-SC OM4 délka 2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EA08A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5BB56E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7429718C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00D9DF3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41555749" w14:textId="164835F0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4x optický duplexní patch kabel LC-SC OS2 délka 5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2739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197EF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5834618D" w14:textId="77777777" w:rsidTr="001378B5">
        <w:trPr>
          <w:trHeight w:val="288"/>
        </w:trPr>
        <w:tc>
          <w:tcPr>
            <w:tcW w:w="2263" w:type="dxa"/>
            <w:vMerge/>
            <w:hideMark/>
          </w:tcPr>
          <w:p w14:paraId="74F5FD3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BFF5264" w14:textId="0CA398CA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2x optický duplexní patch kabel SC-SC OS2 délka 2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8771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CE2A2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E4AD5F6" w14:textId="77777777" w:rsidTr="001378B5">
        <w:trPr>
          <w:trHeight w:val="288"/>
        </w:trPr>
        <w:tc>
          <w:tcPr>
            <w:tcW w:w="2263" w:type="dxa"/>
            <w:shd w:val="clear" w:color="auto" w:fill="auto"/>
            <w:noWrap/>
            <w:hideMark/>
          </w:tcPr>
          <w:p w14:paraId="6C8F4552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Školení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4F635898" w14:textId="352B83FA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bookmarkStart w:id="7" w:name="_Hlk194508443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Školení správců v minimálně délce 16 hodin.</w:t>
            </w:r>
            <w:bookmarkEnd w:id="7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A982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BC27A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540E418F" w14:textId="77777777" w:rsidTr="001378B5">
        <w:trPr>
          <w:trHeight w:val="58"/>
        </w:trPr>
        <w:tc>
          <w:tcPr>
            <w:tcW w:w="2263" w:type="dxa"/>
            <w:shd w:val="clear" w:color="auto" w:fill="auto"/>
            <w:noWrap/>
            <w:hideMark/>
          </w:tcPr>
          <w:p w14:paraId="47FF2E7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Instalace a konfigurace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23A63485" w14:textId="0CC43763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Instalační a konfigurační práce včetně migrace a optimalizace stávajících pravidel pro interní provoz z firewallu </w:t>
            </w:r>
            <w:proofErr w:type="spellStart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Sophos</w:t>
            </w:r>
            <w:proofErr w:type="spellEnd"/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 xml:space="preserve"> XGS 2300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98904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A28D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6513D7C0" w14:textId="77777777" w:rsidTr="001378B5">
        <w:trPr>
          <w:trHeight w:val="288"/>
        </w:trPr>
        <w:tc>
          <w:tcPr>
            <w:tcW w:w="2263" w:type="dxa"/>
            <w:shd w:val="clear" w:color="auto" w:fill="auto"/>
            <w:noWrap/>
            <w:hideMark/>
          </w:tcPr>
          <w:p w14:paraId="41F5E949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Licence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203634C" w14:textId="74138C42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Všechny potřebné licence pro provoz na dobu minimálně 5 let.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522EB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94FB7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30B8E7E9" w14:textId="77777777" w:rsidTr="001378B5">
        <w:trPr>
          <w:trHeight w:val="58"/>
        </w:trPr>
        <w:tc>
          <w:tcPr>
            <w:tcW w:w="2263" w:type="dxa"/>
            <w:shd w:val="clear" w:color="auto" w:fill="auto"/>
            <w:noWrap/>
            <w:hideMark/>
          </w:tcPr>
          <w:p w14:paraId="4548CA6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Záruka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14:paraId="1489893E" w14:textId="5B4B14FA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Záruka na hardware minimálně 5 let, řešení opravy formou výměny zařízení s odesláním následující pracovní den po identifikaci a uznání závady výrobcem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62CF5C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B9F356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7754" w:rsidRPr="000A2B0C" w14:paraId="1CB7E3A0" w14:textId="77777777" w:rsidTr="001378B5">
        <w:trPr>
          <w:trHeight w:val="58"/>
        </w:trPr>
        <w:tc>
          <w:tcPr>
            <w:tcW w:w="2263" w:type="dxa"/>
            <w:shd w:val="clear" w:color="auto" w:fill="auto"/>
            <w:noWrap/>
            <w:hideMark/>
          </w:tcPr>
          <w:p w14:paraId="40A59BED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Podpora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2C5BBB79" w14:textId="7F036688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Podpora na hardware minimálně 5 let, v režimu min. 8x5, standardně dostupná prostřednictvím telefonní linky nebo webového portálu pro správu požadavků, včetně přístupu k aktualizacím SW a novým funkcionalitám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3EBC5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E8C41A" w14:textId="77777777" w:rsidR="003B7754" w:rsidRPr="000A2B0C" w:rsidRDefault="003B7754" w:rsidP="003B7754">
            <w:pPr>
              <w:suppressAutoHyphens w:val="0"/>
              <w:spacing w:before="40" w:after="4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</w:pPr>
            <w:r w:rsidRPr="000A2B0C">
              <w:rPr>
                <w:rFonts w:eastAsia="Times New Roman" w:cs="Arial"/>
                <w:color w:val="00000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3191898F" w14:textId="77777777" w:rsidR="003D5E88" w:rsidRDefault="003D5E88" w:rsidP="003369D6"/>
    <w:p w14:paraId="27E75CB7" w14:textId="77777777" w:rsidR="005F0711" w:rsidRDefault="005F0711" w:rsidP="003369D6">
      <w:pPr>
        <w:sectPr w:rsidR="005F0711" w:rsidSect="001552F4">
          <w:pgSz w:w="16838" w:h="11906" w:orient="landscape"/>
          <w:pgMar w:top="1417" w:right="1417" w:bottom="1276" w:left="1417" w:header="708" w:footer="545" w:gutter="0"/>
          <w:cols w:space="708"/>
          <w:formProt w:val="0"/>
          <w:docGrid w:linePitch="360"/>
        </w:sectPr>
      </w:pPr>
    </w:p>
    <w:p w14:paraId="5A8127F9" w14:textId="77777777" w:rsidR="005F0711" w:rsidRDefault="005F0711" w:rsidP="003369D6"/>
    <w:p w14:paraId="07D03A61" w14:textId="77777777" w:rsidR="008F1F15" w:rsidRPr="008F1F15" w:rsidRDefault="008F1F15" w:rsidP="008F1F15">
      <w:pPr>
        <w:pStyle w:val="NadpisA"/>
      </w:pPr>
      <w:bookmarkStart w:id="8" w:name="_Toc184206025"/>
      <w:bookmarkStart w:id="9" w:name="_Toc189661076"/>
      <w:r w:rsidRPr="008F1F15">
        <w:t>DALŠÍ SLUŽBY</w:t>
      </w:r>
    </w:p>
    <w:p w14:paraId="5A5C49FE" w14:textId="77777777" w:rsidR="008F1F15" w:rsidRPr="000972E2" w:rsidRDefault="008F1F15" w:rsidP="008F1F15">
      <w:pPr>
        <w:pStyle w:val="Nadpis"/>
      </w:pPr>
      <w:r w:rsidRPr="000972E2">
        <w:t>Projektové řízení</w:t>
      </w:r>
    </w:p>
    <w:p w14:paraId="218F7C4D" w14:textId="77777777" w:rsidR="008F1F15" w:rsidRPr="000972E2" w:rsidRDefault="008F1F15" w:rsidP="008F1F15">
      <w:pPr>
        <w:pStyle w:val="Normln-Odstavec"/>
        <w:rPr>
          <w:rFonts w:eastAsiaTheme="minorHAnsi" w:cs="Arial"/>
          <w:szCs w:val="22"/>
          <w:lang w:eastAsia="en-US"/>
        </w:rPr>
      </w:pPr>
      <w:r w:rsidRPr="000972E2">
        <w:rPr>
          <w:rFonts w:cs="Arial"/>
          <w:szCs w:val="20"/>
        </w:rPr>
        <w:t xml:space="preserve">Zadavatel požaduje </w:t>
      </w:r>
      <w:r w:rsidRPr="000972E2">
        <w:rPr>
          <w:rFonts w:cs="Arial"/>
        </w:rPr>
        <w:t xml:space="preserve">zajištění projektového vedení realizace předmětu plnění. </w:t>
      </w:r>
      <w:r w:rsidRPr="000972E2">
        <w:rPr>
          <w:rFonts w:eastAsiaTheme="minorHAnsi" w:cs="Arial"/>
          <w:szCs w:val="22"/>
          <w:lang w:eastAsia="en-US"/>
        </w:rPr>
        <w:t>Dodavatel zajistí projektové vedení po celou dobu realizace zakázky. Dodavatel zajistí:</w:t>
      </w:r>
    </w:p>
    <w:p w14:paraId="18A06673" w14:textId="77777777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  <w:rPr>
          <w:rFonts w:eastAsiaTheme="minorHAnsi" w:cs="Arial"/>
          <w:szCs w:val="22"/>
          <w:lang w:eastAsia="en-US"/>
        </w:rPr>
      </w:pPr>
      <w:r w:rsidRPr="000972E2">
        <w:t>Projektové vedení plnění předmětu plnění po celou dobu realizace dodávky prostřednictvím projektového manažera, který bude v průběhu plnění aktivně a konstruktivně komunikovat se jmenovaným zástupcem zadavatele;</w:t>
      </w:r>
    </w:p>
    <w:p w14:paraId="5C870066" w14:textId="77777777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</w:pPr>
      <w:r w:rsidRPr="000972E2">
        <w:t>proaktivní vyžádání si součinnosti a koordinace prací, služeb a/nebo dodávek třetích stran (zejm. stávajících dodavatelů zadavatele) zapojených do plnění za účelem dosažení úspěšné realizace předmětu plnění veřejné zakázky jako celku a jeho úspěšné realizace v daném časovém rámci vč. jednotlivého oprávněného konkrétního úkolu s určeným termínem z kontrolního dne v rámci koordinace prací, služeb a/nebo dodávek;</w:t>
      </w:r>
    </w:p>
    <w:p w14:paraId="422732DB" w14:textId="77777777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</w:pPr>
      <w:r w:rsidRPr="000972E2">
        <w:t>organizaci kontrolních dnů – kontrolní dny se budou konat za účasti zástupců dodavatele a zadavatele min. 1 x 14 dní; dodavatel zajistí řízení všech kontrolních dnů a dílčích jednání se členy realizačního týmu na straně zadavatele;</w:t>
      </w:r>
    </w:p>
    <w:p w14:paraId="74D6C150" w14:textId="77777777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</w:pPr>
      <w:r w:rsidRPr="000972E2">
        <w:t xml:space="preserve">zpracování harmonogramu prací v podobě navazujících činností, např. formou </w:t>
      </w:r>
      <w:proofErr w:type="spellStart"/>
      <w:r w:rsidRPr="000972E2">
        <w:t>Ganttova</w:t>
      </w:r>
      <w:proofErr w:type="spellEnd"/>
      <w:r w:rsidRPr="000972E2">
        <w:t xml:space="preserve"> diagramu nebo MS Project, či obdobného nástroje postihujícího návaznosti ke všem částem plnění;</w:t>
      </w:r>
    </w:p>
    <w:p w14:paraId="6DC31E62" w14:textId="6F9D158A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</w:pPr>
      <w:r w:rsidRPr="005231F7">
        <w:t>řízení vzniku veškeré provozně-technické dokumentace, školících materiálů pro školení administrátorů, organizace školení samotného a další projektové dokumentace;</w:t>
      </w:r>
    </w:p>
    <w:p w14:paraId="71718D69" w14:textId="77777777" w:rsidR="008F1F15" w:rsidRPr="000972E2" w:rsidRDefault="008F1F15" w:rsidP="008F1F15">
      <w:pPr>
        <w:pStyle w:val="Normln-Odstavec"/>
        <w:numPr>
          <w:ilvl w:val="1"/>
          <w:numId w:val="46"/>
        </w:numPr>
        <w:ind w:left="709" w:hanging="425"/>
      </w:pPr>
      <w:r w:rsidRPr="000972E2">
        <w:t>veškeré řídící činnosti projektu s vlastníky projektu na straně zadavatele nebo jím určených třetích stran na straně dodavatele.</w:t>
      </w:r>
    </w:p>
    <w:p w14:paraId="13BF62C3" w14:textId="77777777" w:rsidR="008F1F15" w:rsidRDefault="008F1F15" w:rsidP="008F1F15"/>
    <w:p w14:paraId="6E2515C3" w14:textId="0178D63C" w:rsidR="00F835C2" w:rsidRDefault="00F835C2" w:rsidP="00CF52D2">
      <w:pPr>
        <w:pStyle w:val="Nadpis"/>
      </w:pPr>
      <w:r w:rsidRPr="001A5301">
        <w:t>Školení</w:t>
      </w:r>
      <w:bookmarkEnd w:id="8"/>
      <w:bookmarkEnd w:id="9"/>
    </w:p>
    <w:p w14:paraId="1FC0C4FD" w14:textId="12A46312" w:rsidR="00F835C2" w:rsidRDefault="001552F4" w:rsidP="003369D6">
      <w:r w:rsidRPr="00E04719">
        <w:t xml:space="preserve">Zadavatel v rámci dodávky požaduje proškolení 2 správců v rozsahu nezbytném pro zajištění standardního provozu </w:t>
      </w:r>
      <w:r>
        <w:t xml:space="preserve">a správy </w:t>
      </w:r>
      <w:r w:rsidRPr="00E04719">
        <w:t xml:space="preserve">dodaných </w:t>
      </w:r>
      <w:r>
        <w:t>segmentačních firewallů</w:t>
      </w:r>
      <w:r w:rsidR="003B7754">
        <w:t xml:space="preserve">, min. však </w:t>
      </w:r>
      <w:r w:rsidR="003B7754" w:rsidRPr="004F7EA9">
        <w:t>v délce 16 hodin</w:t>
      </w:r>
      <w:r w:rsidRPr="00E04719">
        <w:t>.</w:t>
      </w:r>
    </w:p>
    <w:p w14:paraId="7CEC9498" w14:textId="77777777" w:rsidR="00CF52D2" w:rsidRPr="005244C2" w:rsidRDefault="00CF52D2" w:rsidP="003369D6"/>
    <w:p w14:paraId="7F2A62F9" w14:textId="77777777" w:rsidR="00F835C2" w:rsidRDefault="00F835C2" w:rsidP="00CF52D2">
      <w:pPr>
        <w:pStyle w:val="Nadpis"/>
      </w:pPr>
      <w:bookmarkStart w:id="10" w:name="_Toc184206027"/>
      <w:bookmarkStart w:id="11" w:name="_Toc189661077"/>
      <w:r w:rsidRPr="006A1357">
        <w:t>Rozsah implementace</w:t>
      </w:r>
      <w:bookmarkEnd w:id="10"/>
      <w:bookmarkEnd w:id="11"/>
    </w:p>
    <w:p w14:paraId="7C069755" w14:textId="77777777" w:rsidR="001552F4" w:rsidRPr="00E04719" w:rsidRDefault="001552F4" w:rsidP="001552F4">
      <w:pPr>
        <w:pStyle w:val="Normln-Odstavec"/>
        <w:rPr>
          <w:rFonts w:cs="Arial"/>
          <w:szCs w:val="20"/>
        </w:rPr>
      </w:pPr>
      <w:r w:rsidRPr="00E04719">
        <w:rPr>
          <w:rFonts w:cs="Arial"/>
          <w:szCs w:val="20"/>
        </w:rPr>
        <w:t>Náklady na provedení instalačních a implementačních prací musí být zahrnuty v nabídkové ceně k položce, ke které se vztahují a nelze je vyčíslit zvlášť.</w:t>
      </w:r>
    </w:p>
    <w:p w14:paraId="23E88CEB" w14:textId="77777777" w:rsidR="001552F4" w:rsidRPr="00E04719" w:rsidRDefault="001552F4" w:rsidP="001552F4">
      <w:pPr>
        <w:pStyle w:val="Normln-Odstavec"/>
        <w:rPr>
          <w:rFonts w:cs="Arial"/>
          <w:szCs w:val="20"/>
        </w:rPr>
      </w:pPr>
      <w:r w:rsidRPr="00E04719">
        <w:rPr>
          <w:rFonts w:eastAsiaTheme="minorHAnsi" w:cs="Arial"/>
          <w:szCs w:val="20"/>
          <w:lang w:eastAsia="en-US"/>
        </w:rPr>
        <w:t>Zadavatel požaduje provedení prací minimálně v níže uvedeném rozsahu.</w:t>
      </w:r>
    </w:p>
    <w:p w14:paraId="06F9C195" w14:textId="77777777" w:rsidR="001552F4" w:rsidRPr="001552F4" w:rsidRDefault="001552F4" w:rsidP="001552F4">
      <w:pPr>
        <w:pStyle w:val="Normln-Odstavec"/>
        <w:numPr>
          <w:ilvl w:val="0"/>
          <w:numId w:val="42"/>
        </w:numPr>
        <w:rPr>
          <w:rFonts w:cs="Arial"/>
          <w:lang w:eastAsia="en-US"/>
        </w:rPr>
      </w:pPr>
      <w:r w:rsidRPr="001552F4">
        <w:rPr>
          <w:rFonts w:cs="Arial"/>
          <w:lang w:eastAsia="en-US"/>
        </w:rPr>
        <w:t>Doprava veškerého hardware do místa instalace, sídla zadavatele.</w:t>
      </w:r>
    </w:p>
    <w:p w14:paraId="36843158" w14:textId="2BCA7BFB" w:rsidR="001552F4" w:rsidRDefault="001552F4" w:rsidP="001552F4">
      <w:pPr>
        <w:pStyle w:val="Normln-Odstavec"/>
        <w:numPr>
          <w:ilvl w:val="0"/>
          <w:numId w:val="42"/>
        </w:numPr>
        <w:rPr>
          <w:rFonts w:cs="Arial"/>
          <w:lang w:eastAsia="en-US"/>
        </w:rPr>
      </w:pPr>
      <w:r w:rsidRPr="001552F4">
        <w:rPr>
          <w:rFonts w:cs="Arial"/>
          <w:lang w:eastAsia="en-US"/>
        </w:rPr>
        <w:t xml:space="preserve">Asistence při přípravě a konfiguraci </w:t>
      </w:r>
      <w:r>
        <w:rPr>
          <w:rFonts w:cs="Arial"/>
          <w:lang w:eastAsia="en-US"/>
        </w:rPr>
        <w:t xml:space="preserve">firewallů </w:t>
      </w:r>
    </w:p>
    <w:p w14:paraId="4C01B75C" w14:textId="77777777" w:rsidR="001552F4" w:rsidRDefault="001552F4" w:rsidP="001552F4">
      <w:pPr>
        <w:pStyle w:val="Normln-Odstavec"/>
        <w:numPr>
          <w:ilvl w:val="0"/>
          <w:numId w:val="42"/>
        </w:numPr>
        <w:rPr>
          <w:rFonts w:cs="Arial"/>
          <w:lang w:eastAsia="en-US"/>
        </w:rPr>
      </w:pPr>
      <w:r>
        <w:rPr>
          <w:rFonts w:cs="Arial"/>
          <w:lang w:eastAsia="en-US"/>
        </w:rPr>
        <w:t>M</w:t>
      </w:r>
      <w:r w:rsidRPr="000A2B0C">
        <w:rPr>
          <w:rFonts w:cs="Arial"/>
          <w:lang w:eastAsia="en-US"/>
        </w:rPr>
        <w:t xml:space="preserve">igrace a optimalizace stávajících pravidel pro interní provoz z firewallu </w:t>
      </w:r>
      <w:proofErr w:type="spellStart"/>
      <w:r w:rsidRPr="000A2B0C">
        <w:rPr>
          <w:rFonts w:cs="Arial"/>
          <w:lang w:eastAsia="en-US"/>
        </w:rPr>
        <w:t>Sophos</w:t>
      </w:r>
      <w:proofErr w:type="spellEnd"/>
      <w:r w:rsidRPr="000A2B0C">
        <w:rPr>
          <w:rFonts w:cs="Arial"/>
          <w:lang w:eastAsia="en-US"/>
        </w:rPr>
        <w:t xml:space="preserve"> XGS 2300</w:t>
      </w:r>
    </w:p>
    <w:p w14:paraId="0865CA00" w14:textId="79559A05" w:rsidR="001552F4" w:rsidRPr="001552F4" w:rsidRDefault="001552F4" w:rsidP="001552F4">
      <w:pPr>
        <w:pStyle w:val="Normln-Odstavec"/>
        <w:numPr>
          <w:ilvl w:val="0"/>
          <w:numId w:val="42"/>
        </w:numPr>
        <w:rPr>
          <w:rFonts w:cs="Arial"/>
          <w:lang w:eastAsia="en-US"/>
        </w:rPr>
      </w:pPr>
      <w:r w:rsidRPr="001552F4">
        <w:rPr>
          <w:rFonts w:cs="Arial"/>
          <w:lang w:eastAsia="en-US"/>
        </w:rPr>
        <w:t xml:space="preserve">Přítomnost kvalifikovaného pracovníka dodavatele v místě instalace při nasazení </w:t>
      </w:r>
      <w:r>
        <w:rPr>
          <w:rFonts w:cs="Arial"/>
          <w:lang w:eastAsia="en-US"/>
        </w:rPr>
        <w:t xml:space="preserve">segmentačních firewallů </w:t>
      </w:r>
      <w:r w:rsidRPr="001552F4">
        <w:rPr>
          <w:rFonts w:cs="Arial"/>
          <w:lang w:eastAsia="en-US"/>
        </w:rPr>
        <w:t>do ostrého provozu.</w:t>
      </w:r>
    </w:p>
    <w:p w14:paraId="4C25313B" w14:textId="77777777" w:rsidR="00CF52D2" w:rsidRDefault="00CF52D2" w:rsidP="003369D6"/>
    <w:p w14:paraId="159B5ADA" w14:textId="77777777" w:rsidR="00F835C2" w:rsidRPr="00485A2A" w:rsidRDefault="00F835C2" w:rsidP="00CF52D2">
      <w:pPr>
        <w:pStyle w:val="Nadpis"/>
      </w:pPr>
      <w:bookmarkStart w:id="12" w:name="_Toc184206029"/>
      <w:bookmarkStart w:id="13" w:name="_Toc189661078"/>
      <w:r w:rsidRPr="00485A2A">
        <w:t>Testovací provoz (akceptační testy)</w:t>
      </w:r>
      <w:bookmarkEnd w:id="12"/>
      <w:bookmarkEnd w:id="13"/>
    </w:p>
    <w:p w14:paraId="03F920EF" w14:textId="77777777" w:rsidR="00F835C2" w:rsidRPr="00FE39B8" w:rsidRDefault="00F835C2" w:rsidP="003369D6">
      <w:r w:rsidRPr="00FE39B8">
        <w:t xml:space="preserve">Zhotovitel v rámci realizace předmětu smlouvy vypracuje návrh testovacích postupů pro ověření funkčnosti díla a vypracuje jednotlivé akceptační protokoly. Návrh testovacích postupů bude předložen objednateli a po jeho schválení bude objednatelem akceptován. </w:t>
      </w:r>
    </w:p>
    <w:p w14:paraId="07712C19" w14:textId="77777777" w:rsidR="00F835C2" w:rsidRPr="00FA4C08" w:rsidRDefault="00F835C2" w:rsidP="003369D6">
      <w:r w:rsidRPr="00FE39B8">
        <w:t xml:space="preserve">Testovací </w:t>
      </w:r>
      <w:r w:rsidRPr="00FA4C08">
        <w:t>postupy se musí týkat minimálně těchto oblastí:</w:t>
      </w:r>
    </w:p>
    <w:p w14:paraId="0CCECD4A" w14:textId="581FE2D8" w:rsidR="003B7754" w:rsidRPr="00FA4C08" w:rsidRDefault="003B7754" w:rsidP="003B7754">
      <w:pPr>
        <w:pStyle w:val="Odstavecseseznamem"/>
        <w:numPr>
          <w:ilvl w:val="0"/>
          <w:numId w:val="48"/>
        </w:numPr>
      </w:pPr>
      <w:r w:rsidRPr="00FA4C08">
        <w:lastRenderedPageBreak/>
        <w:t>vysoká dostupnost (HA),</w:t>
      </w:r>
    </w:p>
    <w:p w14:paraId="74A6375E" w14:textId="13F8798D" w:rsidR="003B7754" w:rsidRPr="00FA4C08" w:rsidRDefault="003B7754" w:rsidP="003B7754">
      <w:pPr>
        <w:pStyle w:val="Odstavecseseznamem"/>
        <w:numPr>
          <w:ilvl w:val="0"/>
          <w:numId w:val="48"/>
        </w:numPr>
      </w:pPr>
      <w:r w:rsidRPr="00FA4C08">
        <w:t>síťová pravidla, NAT,</w:t>
      </w:r>
    </w:p>
    <w:p w14:paraId="27A706CA" w14:textId="5AA58068" w:rsidR="003B7754" w:rsidRPr="00FA4C08" w:rsidRDefault="003B7754" w:rsidP="003B7754">
      <w:pPr>
        <w:pStyle w:val="Odstavecseseznamem"/>
        <w:numPr>
          <w:ilvl w:val="0"/>
          <w:numId w:val="48"/>
        </w:numPr>
      </w:pPr>
      <w:r w:rsidRPr="00FA4C08">
        <w:t>bezpečnostní funkce (IPS, analýza aplikací, ochrana před škodlivým kódem),</w:t>
      </w:r>
    </w:p>
    <w:p w14:paraId="4DBC2DC0" w14:textId="437A00DA" w:rsidR="003B7754" w:rsidRPr="00FA4C08" w:rsidRDefault="003B7754" w:rsidP="003B7754">
      <w:pPr>
        <w:pStyle w:val="Odstavecseseznamem"/>
        <w:numPr>
          <w:ilvl w:val="0"/>
          <w:numId w:val="48"/>
        </w:numPr>
      </w:pPr>
      <w:r w:rsidRPr="00FA4C08">
        <w:t xml:space="preserve">dohled a napojení na SIEM (SNMP, </w:t>
      </w:r>
      <w:proofErr w:type="spellStart"/>
      <w:r w:rsidRPr="00FA4C08">
        <w:t>syslog</w:t>
      </w:r>
      <w:proofErr w:type="spellEnd"/>
      <w:r w:rsidRPr="00FA4C08">
        <w:t>),</w:t>
      </w:r>
    </w:p>
    <w:p w14:paraId="05C7A7B1" w14:textId="4F9915EA" w:rsidR="003B7754" w:rsidRPr="00FA4C08" w:rsidRDefault="003B7754" w:rsidP="003B7754">
      <w:pPr>
        <w:pStyle w:val="Odstavecseseznamem"/>
        <w:numPr>
          <w:ilvl w:val="0"/>
          <w:numId w:val="48"/>
        </w:numPr>
      </w:pPr>
      <w:r w:rsidRPr="00FA4C08">
        <w:t>výkonnostní parametry.</w:t>
      </w:r>
    </w:p>
    <w:p w14:paraId="561355B4" w14:textId="77777777" w:rsidR="00CF52D2" w:rsidRDefault="00CF52D2" w:rsidP="00CF52D2">
      <w:pPr>
        <w:rPr>
          <w:b/>
          <w:bCs/>
          <w:u w:val="single"/>
        </w:rPr>
      </w:pPr>
    </w:p>
    <w:p w14:paraId="1BB56232" w14:textId="06932587" w:rsidR="00F835C2" w:rsidRPr="00CF52D2" w:rsidRDefault="00F835C2" w:rsidP="00CF52D2">
      <w:pPr>
        <w:rPr>
          <w:b/>
          <w:bCs/>
          <w:u w:val="single"/>
        </w:rPr>
      </w:pPr>
      <w:r w:rsidRPr="00CF52D2">
        <w:rPr>
          <w:b/>
          <w:bCs/>
          <w:u w:val="single"/>
        </w:rPr>
        <w:t xml:space="preserve">Funkční testy </w:t>
      </w:r>
    </w:p>
    <w:p w14:paraId="1884EAF6" w14:textId="27C28DA0" w:rsidR="00F835C2" w:rsidRDefault="00F835C2" w:rsidP="003369D6">
      <w:r w:rsidRPr="00FE39B8">
        <w:t>Funkční testy ověří, že implementované řešení poskytuje bezchybně všechny požadované funkcionality uvedené v Technické specifikaci</w:t>
      </w:r>
      <w:r w:rsidR="00CF52D2">
        <w:t>.</w:t>
      </w:r>
    </w:p>
    <w:p w14:paraId="3E36AE31" w14:textId="77777777" w:rsidR="00F835C2" w:rsidRDefault="00F835C2" w:rsidP="003369D6">
      <w:r w:rsidRPr="00FE39B8">
        <w:t>Testovací provoz bude probíhat v sídle objednatele minimálně v délce 30 dní.</w:t>
      </w:r>
    </w:p>
    <w:p w14:paraId="786597F0" w14:textId="77777777" w:rsidR="00CF52D2" w:rsidRDefault="00CF52D2" w:rsidP="003369D6"/>
    <w:p w14:paraId="52C56AF0" w14:textId="2A0F04F0" w:rsidR="00F835C2" w:rsidRPr="006A1357" w:rsidRDefault="008F1F15" w:rsidP="00CF52D2">
      <w:pPr>
        <w:pStyle w:val="Nadpis"/>
      </w:pPr>
      <w:bookmarkStart w:id="14" w:name="_Toc184206030"/>
      <w:bookmarkStart w:id="15" w:name="_Toc189661079"/>
      <w:r>
        <w:t xml:space="preserve">Požadavky na </w:t>
      </w:r>
      <w:r w:rsidR="00F835C2" w:rsidRPr="006A1357">
        <w:t>dokumentac</w:t>
      </w:r>
      <w:bookmarkEnd w:id="14"/>
      <w:bookmarkEnd w:id="15"/>
      <w:r>
        <w:t>i</w:t>
      </w:r>
    </w:p>
    <w:p w14:paraId="65EF6205" w14:textId="77777777" w:rsidR="008F1F15" w:rsidRPr="008F1F15" w:rsidRDefault="008F1F15" w:rsidP="008F1F15">
      <w:r w:rsidRPr="008F1F15">
        <w:rPr>
          <w:b/>
          <w:bCs/>
        </w:rPr>
        <w:t>Dodavatel zpracuje komplexní a detailní řešení nasazení díla</w:t>
      </w:r>
      <w:r w:rsidRPr="008F1F15">
        <w:t xml:space="preserve">, a to ve vazbě na požadavky uvedené v této technické dokumentaci. Cílem je zpracování dokumentu v takové míře detailu jednotlivých postupů a prací zasazení do prostředí a jeho nastavení, která umožní dosažení zavedení řešení do rutinního provozu řízenou formou. Dokument proto bude jednoznačně a jasně konkretizovat jednotlivé kroky prací a to min. v rozsahu, které kroky a jakým způsobem budou řešeny, kým budou řešeny, za jaké součinnosti objednatele a v jakém čase. Taková konkretizace bude dále dodržovat časovou, věcnou a logickou souslednost a bude z ní tedy možné v každém okamžiku realizace jednotlivých částí díla určit, co je právě realizováno a v jakém stavu a co bude následovat. </w:t>
      </w:r>
    </w:p>
    <w:p w14:paraId="2B904018" w14:textId="77777777" w:rsidR="008F1F15" w:rsidRPr="008F1F15" w:rsidRDefault="008F1F15" w:rsidP="008F1F15">
      <w:r w:rsidRPr="008F1F15">
        <w:t>Objednatel bude moci na základě takových podkladů alokovat své potřebné kapacity na součinnost a průběžnou kontrolu plnění díla. Bez odsouhlasené prováděcí dokumentace ze strany objednatele, tedy shody objednatele a zhotovitele na způsobu a formě nasazení jednotlivých částí díla nebude moci být započata implementace.</w:t>
      </w:r>
    </w:p>
    <w:p w14:paraId="57F7B03C" w14:textId="77777777" w:rsidR="008F1F15" w:rsidRPr="008F1F15" w:rsidRDefault="008F1F15" w:rsidP="008F1F15">
      <w:pPr>
        <w:pStyle w:val="Normln-Odstavec"/>
        <w:rPr>
          <w:szCs w:val="20"/>
        </w:rPr>
      </w:pPr>
      <w:r w:rsidRPr="008F1F15">
        <w:rPr>
          <w:rStyle w:val="Siln"/>
          <w:szCs w:val="20"/>
        </w:rPr>
        <w:t xml:space="preserve">Dodavatel zpracuje provozně-technickou dokumentaci v rozsahu </w:t>
      </w:r>
      <w:r w:rsidRPr="008F1F15">
        <w:rPr>
          <w:szCs w:val="20"/>
        </w:rPr>
        <w:t>dokumentace skutečného provedení a provozní dokumentace.</w:t>
      </w:r>
    </w:p>
    <w:p w14:paraId="5430CDA1" w14:textId="77777777" w:rsidR="008F1F15" w:rsidRPr="008F1F15" w:rsidRDefault="008F1F15" w:rsidP="008F1F15">
      <w:pPr>
        <w:rPr>
          <w:rFonts w:eastAsiaTheme="minorHAnsi" w:cs="Arial"/>
          <w:szCs w:val="22"/>
        </w:rPr>
      </w:pPr>
      <w:r w:rsidRPr="008F1F15">
        <w:rPr>
          <w:rFonts w:eastAsiaTheme="minorHAnsi" w:cs="Arial"/>
          <w:szCs w:val="22"/>
        </w:rPr>
        <w:t>Dokumentace skutečného provedení musí obsahovat minimálně tyto části:</w:t>
      </w:r>
    </w:p>
    <w:p w14:paraId="6F4D7F8A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eastAsiaTheme="minorHAnsi" w:cs="Arial"/>
          <w:szCs w:val="22"/>
        </w:rPr>
      </w:pPr>
      <w:r w:rsidRPr="008F1F15">
        <w:rPr>
          <w:rFonts w:eastAsiaTheme="minorHAnsi" w:cs="Arial"/>
          <w:szCs w:val="22"/>
        </w:rPr>
        <w:t>detailní popis cílového stavu včetně popisu funkcionalit jednotlivých HW a SW částí systému;</w:t>
      </w:r>
    </w:p>
    <w:p w14:paraId="4E4A8A14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cs="Arial"/>
        </w:rPr>
      </w:pPr>
      <w:r w:rsidRPr="008F1F15">
        <w:rPr>
          <w:rFonts w:cs="Arial"/>
          <w:szCs w:val="22"/>
        </w:rPr>
        <w:t>seznam dodaného hardware, jeho produktových čísel a dalších podrobností (např. sériových čísel, MAC adres, IP adres a umístění apod.);</w:t>
      </w:r>
    </w:p>
    <w:p w14:paraId="1CA00D2A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eastAsiaTheme="minorHAnsi" w:cs="Arial"/>
          <w:szCs w:val="22"/>
        </w:rPr>
      </w:pPr>
      <w:r w:rsidRPr="008F1F15">
        <w:rPr>
          <w:rFonts w:cs="Arial"/>
          <w:szCs w:val="22"/>
        </w:rPr>
        <w:t>seznam všech zařízení, rozhraní a jejich MAC adres a k nim odpovídajících IP adres použitých v nové infrastruktuře;</w:t>
      </w:r>
    </w:p>
    <w:p w14:paraId="4325CD50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eastAsiaTheme="minorHAnsi" w:cs="Arial"/>
          <w:szCs w:val="22"/>
        </w:rPr>
      </w:pPr>
      <w:r w:rsidRPr="008F1F15">
        <w:rPr>
          <w:rFonts w:eastAsiaTheme="minorHAnsi" w:cs="Arial"/>
          <w:szCs w:val="22"/>
        </w:rPr>
        <w:t>detailní popis zajištění bezpečnosti informací;</w:t>
      </w:r>
    </w:p>
    <w:p w14:paraId="1C4253BA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eastAsiaTheme="minorHAnsi" w:cs="Arial"/>
          <w:szCs w:val="22"/>
        </w:rPr>
      </w:pPr>
      <w:r w:rsidRPr="008F1F15">
        <w:rPr>
          <w:rFonts w:eastAsiaTheme="minorHAnsi" w:cs="Arial"/>
          <w:szCs w:val="22"/>
        </w:rPr>
        <w:t>detailní popis designu řešení a jeho konfigurace;</w:t>
      </w:r>
    </w:p>
    <w:p w14:paraId="3792BBFF" w14:textId="77777777" w:rsidR="008F1F15" w:rsidRPr="008F1F15" w:rsidRDefault="008F1F15" w:rsidP="008F1F15">
      <w:pPr>
        <w:pStyle w:val="Odstavecseseznamem"/>
        <w:numPr>
          <w:ilvl w:val="0"/>
          <w:numId w:val="47"/>
        </w:numPr>
        <w:suppressAutoHyphens w:val="0"/>
        <w:ind w:left="714" w:hanging="357"/>
        <w:rPr>
          <w:rFonts w:eastAsiaTheme="minorHAnsi" w:cs="Arial"/>
          <w:szCs w:val="22"/>
        </w:rPr>
      </w:pPr>
      <w:r w:rsidRPr="008F1F15">
        <w:rPr>
          <w:rFonts w:eastAsiaTheme="minorHAnsi" w:cs="Arial"/>
          <w:szCs w:val="22"/>
        </w:rPr>
        <w:t>vazby na stávající infastrukturu a/nebo systémy a jejich konfigurace.</w:t>
      </w:r>
    </w:p>
    <w:p w14:paraId="1342ECAC" w14:textId="77777777" w:rsidR="008F1F15" w:rsidRPr="008F1F15" w:rsidRDefault="008F1F15" w:rsidP="008F1F15">
      <w:pPr>
        <w:pStyle w:val="Normln-Odstavec"/>
        <w:rPr>
          <w:rStyle w:val="Siln"/>
          <w:szCs w:val="20"/>
        </w:rPr>
      </w:pPr>
      <w:r w:rsidRPr="008F1F15">
        <w:rPr>
          <w:rStyle w:val="Siln"/>
          <w:szCs w:val="20"/>
        </w:rPr>
        <w:t xml:space="preserve">Provozní dokumentace </w:t>
      </w:r>
      <w:r w:rsidRPr="008F1F15">
        <w:rPr>
          <w:rStyle w:val="Siln"/>
          <w:b w:val="0"/>
          <w:bCs w:val="0"/>
          <w:szCs w:val="20"/>
        </w:rPr>
        <w:t>bude obsahovat instrukce a postupy pro administrátory a bezpečnostní správce zařízení.</w:t>
      </w:r>
    </w:p>
    <w:p w14:paraId="097E3D75" w14:textId="77777777" w:rsidR="008F1F15" w:rsidRPr="008F1F15" w:rsidRDefault="008F1F15" w:rsidP="008F1F15">
      <w:pPr>
        <w:pStyle w:val="Normln-Odstavec"/>
      </w:pPr>
      <w:r w:rsidRPr="008F1F15">
        <w:rPr>
          <w:rStyle w:val="Siln"/>
          <w:szCs w:val="20"/>
        </w:rPr>
        <w:t xml:space="preserve">Dodavatel dále zpracuje projektovou dokumentaci </w:t>
      </w:r>
      <w:r w:rsidRPr="008F1F15">
        <w:rPr>
          <w:rStyle w:val="Siln"/>
          <w:b w:val="0"/>
          <w:bCs w:val="0"/>
          <w:szCs w:val="20"/>
        </w:rPr>
        <w:t>v rozsahu odpovídajícím předmětu plnění, zejména pak zápisy z kontrolních dnů a projektových porad a další odpovídající podklady nebo dokumenty související s plněním a dodáním předmětu plnění.</w:t>
      </w:r>
    </w:p>
    <w:p w14:paraId="1FF97CB3" w14:textId="77777777" w:rsidR="00A72FCE" w:rsidRPr="00FE39B8" w:rsidRDefault="00A72FCE" w:rsidP="003369D6"/>
    <w:p w14:paraId="126FD9FF" w14:textId="76B3DE0E" w:rsidR="00F835C2" w:rsidRPr="00095A30" w:rsidRDefault="0072503E" w:rsidP="00CF52D2">
      <w:pPr>
        <w:pStyle w:val="Nadpis"/>
      </w:pPr>
      <w:bookmarkStart w:id="16" w:name="_Toc184206031"/>
      <w:bookmarkStart w:id="17" w:name="_Toc189661080"/>
      <w:r>
        <w:t>Záruka, p</w:t>
      </w:r>
      <w:r w:rsidR="00F835C2" w:rsidRPr="00095A30">
        <w:t>odpora a servis</w:t>
      </w:r>
      <w:bookmarkEnd w:id="16"/>
      <w:bookmarkEnd w:id="17"/>
      <w:r w:rsidR="00F835C2" w:rsidRPr="00095A30">
        <w:t xml:space="preserve"> </w:t>
      </w:r>
    </w:p>
    <w:p w14:paraId="03882023" w14:textId="78764214" w:rsidR="0072503E" w:rsidRDefault="0072503E" w:rsidP="003369D6">
      <w:r w:rsidRPr="000A2B0C">
        <w:t>Záruka na hardware minimálně 5 let, řešení opravy formou výměny zařízení s odesláním následující pracovní den po identifikaci a uznání závady výrobcem</w:t>
      </w:r>
    </w:p>
    <w:p w14:paraId="7E5A7AF7" w14:textId="366EF128" w:rsidR="0072503E" w:rsidRDefault="0072503E" w:rsidP="003369D6">
      <w:r>
        <w:lastRenderedPageBreak/>
        <w:t>Standardní záruční p</w:t>
      </w:r>
      <w:r w:rsidRPr="000A2B0C">
        <w:t>odpora na hardware minimálně 5 let, v režimu min. 8x5, standardně dostupná prostřednictvím telefonní linky nebo webového portálu pro správu požadavků, včetně přístupu k aktualizacím SW a novým funkcionalitám</w:t>
      </w:r>
      <w:r>
        <w:t>.</w:t>
      </w:r>
    </w:p>
    <w:p w14:paraId="7A35257E" w14:textId="77777777" w:rsidR="0072503E" w:rsidRDefault="0072503E" w:rsidP="003369D6"/>
    <w:p w14:paraId="69B0E261" w14:textId="1E1488AB" w:rsidR="00422E16" w:rsidRDefault="00422E16" w:rsidP="0072503E">
      <w:pPr>
        <w:pStyle w:val="NadpisA"/>
      </w:pPr>
      <w:r>
        <w:t>POIMPLEMENTAČNÍ PODPORA</w:t>
      </w:r>
    </w:p>
    <w:p w14:paraId="41E98672" w14:textId="77777777" w:rsidR="00422E16" w:rsidRPr="00837F5A" w:rsidRDefault="00422E16" w:rsidP="00422E16">
      <w:pPr>
        <w:rPr>
          <w:rFonts w:cs="Arial"/>
        </w:rPr>
      </w:pPr>
      <w:r w:rsidRPr="00837F5A">
        <w:rPr>
          <w:rFonts w:cs="Arial"/>
        </w:rPr>
        <w:t xml:space="preserve">Zadavatel požaduje poskytnutí </w:t>
      </w:r>
      <w:proofErr w:type="spellStart"/>
      <w:r>
        <w:rPr>
          <w:rFonts w:cs="Arial"/>
        </w:rPr>
        <w:t>poimplementační</w:t>
      </w:r>
      <w:proofErr w:type="spellEnd"/>
      <w:r>
        <w:rPr>
          <w:rFonts w:cs="Arial"/>
        </w:rPr>
        <w:t xml:space="preserve"> </w:t>
      </w:r>
      <w:r w:rsidRPr="00837F5A">
        <w:rPr>
          <w:rFonts w:cs="Arial"/>
        </w:rPr>
        <w:t xml:space="preserve">technické podpory dodaného řešení proškoleným zaměstnancům </w:t>
      </w:r>
      <w:r>
        <w:rPr>
          <w:rFonts w:cs="Arial"/>
        </w:rPr>
        <w:t>z</w:t>
      </w:r>
      <w:r w:rsidRPr="00837F5A">
        <w:rPr>
          <w:rFonts w:cs="Arial"/>
        </w:rPr>
        <w:t>adavatele (administrátorům). Podpora bude využita zejména pro potřeby následné</w:t>
      </w:r>
      <w:r>
        <w:rPr>
          <w:rFonts w:cs="Arial"/>
        </w:rPr>
        <w:t>ho provozu a správy dodaných technologií</w:t>
      </w:r>
      <w:r w:rsidRPr="00837F5A">
        <w:rPr>
          <w:rFonts w:cs="Arial"/>
        </w:rPr>
        <w:t xml:space="preserve"> a dodan</w:t>
      </w:r>
      <w:r>
        <w:rPr>
          <w:rFonts w:cs="Arial"/>
        </w:rPr>
        <w:t xml:space="preserve">ého </w:t>
      </w:r>
      <w:r w:rsidRPr="00837F5A">
        <w:rPr>
          <w:rFonts w:cs="Arial"/>
        </w:rPr>
        <w:t xml:space="preserve">řešení. </w:t>
      </w:r>
    </w:p>
    <w:p w14:paraId="36D789C6" w14:textId="69E3A279" w:rsidR="00422E16" w:rsidRPr="00837F5A" w:rsidRDefault="00422E16" w:rsidP="00FA4C08">
      <w:pPr>
        <w:pStyle w:val="Odstavecseseznamem"/>
        <w:numPr>
          <w:ilvl w:val="0"/>
          <w:numId w:val="39"/>
        </w:numPr>
        <w:ind w:left="714" w:hanging="357"/>
        <w:rPr>
          <w:rFonts w:cs="Arial"/>
        </w:rPr>
      </w:pPr>
      <w:r w:rsidRPr="00837F5A">
        <w:rPr>
          <w:rFonts w:cs="Arial"/>
        </w:rPr>
        <w:t xml:space="preserve">Požadovaný rozsah technické podpory – 8 hodin po dobu </w:t>
      </w:r>
      <w:r w:rsidR="00EB653F">
        <w:rPr>
          <w:rFonts w:cs="Arial"/>
        </w:rPr>
        <w:t xml:space="preserve">3 měsíců </w:t>
      </w:r>
      <w:r w:rsidRPr="00837F5A">
        <w:rPr>
          <w:rFonts w:cs="Arial"/>
        </w:rPr>
        <w:t xml:space="preserve">od </w:t>
      </w:r>
      <w:r>
        <w:rPr>
          <w:rFonts w:cs="Arial"/>
        </w:rPr>
        <w:t xml:space="preserve">finální </w:t>
      </w:r>
      <w:r w:rsidRPr="00837F5A">
        <w:rPr>
          <w:rFonts w:cs="Arial"/>
        </w:rPr>
        <w:t xml:space="preserve">akceptace </w:t>
      </w:r>
      <w:r>
        <w:rPr>
          <w:rFonts w:cs="Arial"/>
        </w:rPr>
        <w:t xml:space="preserve">dodaného </w:t>
      </w:r>
      <w:r w:rsidRPr="00837F5A">
        <w:rPr>
          <w:rFonts w:cs="Arial"/>
        </w:rPr>
        <w:t xml:space="preserve">řešení. </w:t>
      </w:r>
    </w:p>
    <w:p w14:paraId="05CD39EA" w14:textId="77777777" w:rsidR="00422E16" w:rsidRPr="00837F5A" w:rsidRDefault="00422E16" w:rsidP="00FA4C08">
      <w:pPr>
        <w:pStyle w:val="Odstavecseseznamem"/>
        <w:numPr>
          <w:ilvl w:val="0"/>
          <w:numId w:val="39"/>
        </w:numPr>
        <w:ind w:left="714" w:hanging="357"/>
        <w:rPr>
          <w:rFonts w:cs="Arial"/>
        </w:rPr>
      </w:pPr>
      <w:r w:rsidRPr="00837F5A">
        <w:rPr>
          <w:rFonts w:cs="Arial"/>
        </w:rPr>
        <w:t xml:space="preserve">Technická podpora </w:t>
      </w:r>
      <w:r>
        <w:rPr>
          <w:rFonts w:cs="Arial"/>
        </w:rPr>
        <w:t xml:space="preserve">může být </w:t>
      </w:r>
      <w:r w:rsidRPr="00837F5A">
        <w:rPr>
          <w:rFonts w:cs="Arial"/>
        </w:rPr>
        <w:t xml:space="preserve">poskytována </w:t>
      </w:r>
      <w:r>
        <w:rPr>
          <w:rFonts w:cs="Arial"/>
        </w:rPr>
        <w:t xml:space="preserve">i </w:t>
      </w:r>
      <w:r w:rsidRPr="00837F5A">
        <w:rPr>
          <w:rFonts w:cs="Arial"/>
        </w:rPr>
        <w:t xml:space="preserve">vzdáleně (např. MS Teams) nebo telefonicky. </w:t>
      </w:r>
    </w:p>
    <w:p w14:paraId="2D337657" w14:textId="77777777" w:rsidR="00422E16" w:rsidRPr="00837F5A" w:rsidRDefault="00422E16" w:rsidP="00FA4C08">
      <w:pPr>
        <w:pStyle w:val="Odstavecseseznamem"/>
        <w:numPr>
          <w:ilvl w:val="0"/>
          <w:numId w:val="39"/>
        </w:numPr>
        <w:ind w:left="714" w:hanging="357"/>
        <w:rPr>
          <w:rFonts w:cs="Arial"/>
        </w:rPr>
      </w:pPr>
      <w:r w:rsidRPr="00837F5A">
        <w:rPr>
          <w:rFonts w:cs="Arial"/>
        </w:rPr>
        <w:t>Technická podpora bude dostupná v pracovní době od 7:00 do 16:00.</w:t>
      </w:r>
    </w:p>
    <w:p w14:paraId="2A4FA127" w14:textId="77777777" w:rsidR="00422E16" w:rsidRPr="00837F5A" w:rsidRDefault="00422E16" w:rsidP="00FA4C08">
      <w:pPr>
        <w:pStyle w:val="Odstavecseseznamem"/>
        <w:numPr>
          <w:ilvl w:val="0"/>
          <w:numId w:val="39"/>
        </w:numPr>
        <w:ind w:left="714" w:hanging="357"/>
        <w:rPr>
          <w:rFonts w:cs="Arial"/>
        </w:rPr>
      </w:pPr>
      <w:r w:rsidRPr="00837F5A">
        <w:rPr>
          <w:rFonts w:cs="Arial"/>
        </w:rPr>
        <w:t>Podpora bude poskytována technickým specialistou, který byl součástí realizačního týmu, případně technickým specialistou odpovídající kvalifikace.</w:t>
      </w:r>
    </w:p>
    <w:p w14:paraId="4BE61BD3" w14:textId="77777777" w:rsidR="00422E16" w:rsidRDefault="00422E16" w:rsidP="00422E16">
      <w:r w:rsidRPr="00837F5A">
        <w:rPr>
          <w:rFonts w:cs="Arial"/>
        </w:rPr>
        <w:t xml:space="preserve">Požadavek na podporu bude možné zadat prostřednictvím helpdeskového systému </w:t>
      </w:r>
      <w:r>
        <w:rPr>
          <w:rFonts w:cs="Arial"/>
        </w:rPr>
        <w:t>d</w:t>
      </w:r>
      <w:r w:rsidRPr="00837F5A">
        <w:rPr>
          <w:rFonts w:cs="Arial"/>
        </w:rPr>
        <w:t xml:space="preserve">odavatele nebo </w:t>
      </w:r>
      <w:r>
        <w:rPr>
          <w:rFonts w:cs="Arial"/>
        </w:rPr>
        <w:t xml:space="preserve">e-mailem, příp. </w:t>
      </w:r>
      <w:r w:rsidRPr="00837F5A">
        <w:rPr>
          <w:rFonts w:cs="Arial"/>
        </w:rPr>
        <w:t>telefonicky.</w:t>
      </w:r>
    </w:p>
    <w:p w14:paraId="123E4B34" w14:textId="77777777" w:rsidR="00422E16" w:rsidRDefault="00422E16" w:rsidP="00A3686A"/>
    <w:p w14:paraId="25A88E2A" w14:textId="251B4EA2" w:rsidR="00CA5030" w:rsidRPr="008D610C" w:rsidRDefault="00CA5030" w:rsidP="0072503E">
      <w:pPr>
        <w:pStyle w:val="NadpisA"/>
      </w:pPr>
      <w:r>
        <w:t>HARMONOGRAM</w:t>
      </w:r>
    </w:p>
    <w:p w14:paraId="0B3FB251" w14:textId="2731B637" w:rsidR="00CA5030" w:rsidRDefault="0025188D" w:rsidP="00A3686A">
      <w:pPr>
        <w:rPr>
          <w:rFonts w:cs="Arial"/>
        </w:rPr>
      </w:pPr>
      <w:r w:rsidRPr="00837F5A">
        <w:rPr>
          <w:rFonts w:cs="Arial"/>
        </w:rPr>
        <w:t xml:space="preserve">Zadavatel vyžaduje dodržení následujícího harmonogramu plnění – zde jsou uvedeny maximální možné lhůty pro realizaci dodávky. Údaj D značí datum </w:t>
      </w:r>
      <w:r>
        <w:rPr>
          <w:rFonts w:cs="Arial"/>
        </w:rPr>
        <w:t>nabytí účinnosti S</w:t>
      </w:r>
      <w:r w:rsidRPr="00837F5A">
        <w:rPr>
          <w:rFonts w:cs="Arial"/>
        </w:rPr>
        <w:t>mlouvy</w:t>
      </w:r>
      <w:r>
        <w:rPr>
          <w:rFonts w:cs="Arial"/>
        </w:rPr>
        <w:t xml:space="preserve"> o dílo</w:t>
      </w:r>
      <w:r w:rsidRPr="00837F5A">
        <w:rPr>
          <w:rFonts w:cs="Arial"/>
        </w:rPr>
        <w:t>. Čísla značí počet kalendářních dnů.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6"/>
        <w:gridCol w:w="1700"/>
        <w:gridCol w:w="1696"/>
      </w:tblGrid>
      <w:tr w:rsidR="0025188D" w:rsidRPr="00CD1479" w14:paraId="6275BC32" w14:textId="77777777" w:rsidTr="003058CC">
        <w:trPr>
          <w:tblHeader/>
        </w:trPr>
        <w:tc>
          <w:tcPr>
            <w:tcW w:w="3126" w:type="pct"/>
            <w:shd w:val="clear" w:color="auto" w:fill="BFBFBF" w:themeFill="background1" w:themeFillShade="BF"/>
            <w:vAlign w:val="center"/>
          </w:tcPr>
          <w:p w14:paraId="6E36096A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Aktivita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2A1414D4" w14:textId="77777777" w:rsidR="0025188D" w:rsidRPr="00CD1479" w:rsidDel="00F33D37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Začátek</w:t>
            </w:r>
          </w:p>
        </w:tc>
        <w:tc>
          <w:tcPr>
            <w:tcW w:w="936" w:type="pct"/>
            <w:shd w:val="clear" w:color="auto" w:fill="BFBFBF" w:themeFill="background1" w:themeFillShade="BF"/>
            <w:vAlign w:val="center"/>
          </w:tcPr>
          <w:p w14:paraId="5F6FE374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Termín splnění</w:t>
            </w:r>
          </w:p>
        </w:tc>
      </w:tr>
      <w:tr w:rsidR="0025188D" w:rsidRPr="00837F5A" w14:paraId="7195E513" w14:textId="77777777" w:rsidTr="003058CC">
        <w:tc>
          <w:tcPr>
            <w:tcW w:w="3126" w:type="pct"/>
            <w:shd w:val="clear" w:color="auto" w:fill="auto"/>
            <w:vAlign w:val="center"/>
          </w:tcPr>
          <w:p w14:paraId="59C1A8F2" w14:textId="195DEB03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Nabytí účinnosti </w:t>
            </w:r>
            <w:r w:rsidRPr="00837F5A">
              <w:rPr>
                <w:rFonts w:cs="Arial"/>
                <w:bCs/>
              </w:rPr>
              <w:t>smlouvy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57B437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4D95B72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</w:tr>
      <w:tr w:rsidR="0025188D" w:rsidRPr="00837F5A" w14:paraId="5F2730B6" w14:textId="77777777" w:rsidTr="003058CC">
        <w:tc>
          <w:tcPr>
            <w:tcW w:w="3126" w:type="pct"/>
            <w:shd w:val="clear" w:color="auto" w:fill="auto"/>
            <w:vAlign w:val="center"/>
          </w:tcPr>
          <w:p w14:paraId="1E8200BE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projektu – úvodní projektová schůzka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C632FCB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42D767C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</w:tr>
      <w:tr w:rsidR="0025188D" w:rsidRPr="00837F5A" w14:paraId="38FFF627" w14:textId="77777777" w:rsidTr="003058CC">
        <w:tc>
          <w:tcPr>
            <w:tcW w:w="3126" w:type="pct"/>
            <w:shd w:val="clear" w:color="auto" w:fill="auto"/>
            <w:vAlign w:val="center"/>
          </w:tcPr>
          <w:p w14:paraId="7D84A2C3" w14:textId="2D84D1B2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464FB37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10647D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</w:tr>
      <w:tr w:rsidR="0025188D" w:rsidRPr="00837F5A" w14:paraId="26816630" w14:textId="77777777" w:rsidTr="003058CC">
        <w:tc>
          <w:tcPr>
            <w:tcW w:w="3126" w:type="pct"/>
            <w:shd w:val="clear" w:color="auto" w:fill="auto"/>
            <w:vAlign w:val="center"/>
          </w:tcPr>
          <w:p w14:paraId="4E92FC3A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7E3108A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CFE654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</w:tr>
      <w:tr w:rsidR="0025188D" w:rsidRPr="00837F5A" w14:paraId="1F679F3E" w14:textId="77777777" w:rsidTr="003058CC">
        <w:tc>
          <w:tcPr>
            <w:tcW w:w="3126" w:type="pct"/>
            <w:shd w:val="clear" w:color="auto" w:fill="auto"/>
            <w:vAlign w:val="center"/>
          </w:tcPr>
          <w:p w14:paraId="4D39F4C9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Prováděcí dokumentace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370A972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4215FDE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</w:tr>
      <w:tr w:rsidR="0025188D" w:rsidRPr="00837F5A" w14:paraId="552F33AE" w14:textId="77777777" w:rsidTr="003058CC">
        <w:tc>
          <w:tcPr>
            <w:tcW w:w="3126" w:type="pct"/>
            <w:shd w:val="clear" w:color="auto" w:fill="auto"/>
            <w:vAlign w:val="center"/>
          </w:tcPr>
          <w:p w14:paraId="6554CDF6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Prováděcí dokumentace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16E384D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C72A4F5" w14:textId="3C7B61B0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EB653F">
              <w:rPr>
                <w:rFonts w:cs="Arial"/>
              </w:rPr>
              <w:t>48</w:t>
            </w:r>
          </w:p>
        </w:tc>
      </w:tr>
      <w:tr w:rsidR="0025188D" w:rsidRPr="00837F5A" w14:paraId="0A3F6D89" w14:textId="77777777" w:rsidTr="003058CC">
        <w:tc>
          <w:tcPr>
            <w:tcW w:w="3126" w:type="pct"/>
            <w:shd w:val="clear" w:color="auto" w:fill="auto"/>
            <w:vAlign w:val="center"/>
          </w:tcPr>
          <w:p w14:paraId="0EDE7627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Realizace předmětu plnění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76764C7" w14:textId="3A0F9836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EB653F">
              <w:rPr>
                <w:rFonts w:cs="Arial"/>
              </w:rPr>
              <w:t>48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491D905" w14:textId="29B9A1BA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</w:t>
            </w:r>
            <w:r w:rsidR="0072503E">
              <w:rPr>
                <w:rFonts w:cs="Arial"/>
              </w:rPr>
              <w:t>00</w:t>
            </w:r>
          </w:p>
        </w:tc>
      </w:tr>
      <w:tr w:rsidR="0025188D" w:rsidRPr="00837F5A" w14:paraId="09369F53" w14:textId="77777777" w:rsidTr="003058CC">
        <w:tc>
          <w:tcPr>
            <w:tcW w:w="3126" w:type="pct"/>
            <w:shd w:val="clear" w:color="auto" w:fill="auto"/>
            <w:vAlign w:val="center"/>
          </w:tcPr>
          <w:p w14:paraId="3E59D6A5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Školení administrátorů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78C426C" w14:textId="5E97A05B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EB653F">
              <w:rPr>
                <w:rFonts w:cs="Arial"/>
              </w:rPr>
              <w:t>48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ADCF1D6" w14:textId="687F7DD3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72503E">
              <w:rPr>
                <w:rFonts w:cs="Arial"/>
              </w:rPr>
              <w:t>100</w:t>
            </w:r>
          </w:p>
        </w:tc>
      </w:tr>
      <w:tr w:rsidR="0025188D" w:rsidRPr="00837F5A" w14:paraId="4843A51D" w14:textId="77777777" w:rsidTr="003058CC">
        <w:tc>
          <w:tcPr>
            <w:tcW w:w="3126" w:type="pct"/>
            <w:shd w:val="clear" w:color="auto" w:fill="auto"/>
            <w:vAlign w:val="center"/>
          </w:tcPr>
          <w:p w14:paraId="0F8ADAF1" w14:textId="445E0F6B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Testovací </w:t>
            </w:r>
            <w:r w:rsidRPr="00837F5A">
              <w:rPr>
                <w:rFonts w:cs="Arial"/>
                <w:bCs/>
              </w:rPr>
              <w:t>provoz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5CFE1455" w14:textId="2773A6AB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</w:t>
            </w:r>
            <w:r w:rsidR="0072503E">
              <w:rPr>
                <w:rFonts w:cs="Arial"/>
              </w:rPr>
              <w:t>00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A5EF758" w14:textId="168BD974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 w:rsidR="0072503E">
              <w:rPr>
                <w:rFonts w:cs="Arial"/>
              </w:rPr>
              <w:t>120</w:t>
            </w:r>
          </w:p>
        </w:tc>
      </w:tr>
      <w:tr w:rsidR="0025188D" w:rsidRPr="00837F5A" w14:paraId="5973679C" w14:textId="77777777" w:rsidTr="003058CC">
        <w:tc>
          <w:tcPr>
            <w:tcW w:w="3126" w:type="pct"/>
            <w:shd w:val="clear" w:color="auto" w:fill="auto"/>
            <w:vAlign w:val="center"/>
          </w:tcPr>
          <w:p w14:paraId="66222193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Akceptační testy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66EEEA7" w14:textId="130C25D7" w:rsidR="0025188D" w:rsidRPr="00837F5A" w:rsidRDefault="0072503E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</w:t>
            </w:r>
            <w:r>
              <w:rPr>
                <w:rFonts w:cs="Arial"/>
              </w:rPr>
              <w:t>00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8C645E0" w14:textId="53BF62C3" w:rsidR="0025188D" w:rsidRPr="00837F5A" w:rsidRDefault="0072503E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120</w:t>
            </w:r>
          </w:p>
        </w:tc>
      </w:tr>
      <w:tr w:rsidR="0025188D" w:rsidRPr="00837F5A" w14:paraId="4A2F7E20" w14:textId="77777777" w:rsidTr="003058CC">
        <w:tc>
          <w:tcPr>
            <w:tcW w:w="3126" w:type="pct"/>
            <w:shd w:val="clear" w:color="auto" w:fill="auto"/>
            <w:vAlign w:val="center"/>
          </w:tcPr>
          <w:p w14:paraId="3B5A9F38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ostrého provozu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E9AEF21" w14:textId="2E006B98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</w:t>
            </w:r>
            <w:r w:rsidR="002154B5">
              <w:rPr>
                <w:rFonts w:cs="Arial"/>
              </w:rPr>
              <w:t>2</w:t>
            </w:r>
            <w:r w:rsidR="0072503E">
              <w:rPr>
                <w:rFonts w:cs="Arial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8D478EA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 xml:space="preserve"> -</w:t>
            </w:r>
          </w:p>
        </w:tc>
      </w:tr>
    </w:tbl>
    <w:p w14:paraId="12A7AEAE" w14:textId="77777777" w:rsidR="0025188D" w:rsidRDefault="0025188D" w:rsidP="00A3686A">
      <w:pPr>
        <w:rPr>
          <w:u w:val="single"/>
        </w:rPr>
      </w:pPr>
    </w:p>
    <w:p w14:paraId="5BB33362" w14:textId="77777777" w:rsidR="0025188D" w:rsidRPr="00EB653F" w:rsidRDefault="0025188D" w:rsidP="0025188D">
      <w:pPr>
        <w:pStyle w:val="Normln-Odstavec"/>
        <w:rPr>
          <w:rFonts w:cs="Arial"/>
          <w:szCs w:val="20"/>
        </w:rPr>
      </w:pPr>
      <w:r w:rsidRPr="00837F5A">
        <w:rPr>
          <w:rFonts w:cs="Arial"/>
          <w:szCs w:val="20"/>
        </w:rPr>
        <w:t xml:space="preserve">Dodavatel může dle svého uvážení výše uvedené maximální lhůty trvání zkrátit při dodržení všech částí předmětu plnění a </w:t>
      </w:r>
      <w:r w:rsidRPr="00EB653F">
        <w:rPr>
          <w:rFonts w:cs="Arial"/>
          <w:szCs w:val="20"/>
        </w:rPr>
        <w:t xml:space="preserve">bez snížení kvality dodávaných služeb. </w:t>
      </w:r>
    </w:p>
    <w:p w14:paraId="04C72FFD" w14:textId="29447E6E" w:rsidR="0025188D" w:rsidRPr="00EB653F" w:rsidRDefault="0025188D" w:rsidP="0025188D">
      <w:pPr>
        <w:pStyle w:val="Normln-Odstavec"/>
        <w:rPr>
          <w:rFonts w:cs="Arial"/>
          <w:szCs w:val="20"/>
        </w:rPr>
      </w:pPr>
      <w:r w:rsidRPr="00EB653F">
        <w:rPr>
          <w:rFonts w:cs="Arial"/>
          <w:szCs w:val="20"/>
        </w:rPr>
        <w:t>Maximální lhůty trvání nesmí dodavatel při tvorbě detailního harmonogramu prodloužit.</w:t>
      </w:r>
    </w:p>
    <w:p w14:paraId="6888BA46" w14:textId="3331B1A8" w:rsidR="0025188D" w:rsidRPr="00EB653F" w:rsidRDefault="0025188D" w:rsidP="0025188D">
      <w:pPr>
        <w:pStyle w:val="Normln-Odstavec"/>
        <w:rPr>
          <w:rFonts w:cs="Arial"/>
          <w:b/>
          <w:bCs/>
          <w:szCs w:val="20"/>
        </w:rPr>
      </w:pPr>
      <w:bookmarkStart w:id="18" w:name="_Hlk100155510"/>
      <w:r w:rsidRPr="00EB653F">
        <w:rPr>
          <w:rFonts w:cs="Arial"/>
          <w:b/>
          <w:bCs/>
          <w:szCs w:val="20"/>
        </w:rPr>
        <w:t>Detailní harmonogram plnění uvede dodavatel ve své nabídce.</w:t>
      </w:r>
      <w:bookmarkEnd w:id="18"/>
    </w:p>
    <w:p w14:paraId="38746510" w14:textId="3D20A7C3" w:rsidR="0025188D" w:rsidRPr="00EB653F" w:rsidRDefault="0025188D" w:rsidP="0072503E">
      <w:pPr>
        <w:rPr>
          <w:b/>
          <w:bCs/>
          <w:u w:val="single"/>
        </w:rPr>
      </w:pPr>
      <w:bookmarkStart w:id="19" w:name="_Hlk100155529"/>
      <w:r w:rsidRPr="00EB653F">
        <w:rPr>
          <w:rFonts w:cs="Arial"/>
          <w:b/>
          <w:bCs/>
        </w:rPr>
        <w:t xml:space="preserve">Dodavatel uvede </w:t>
      </w:r>
      <w:r w:rsidR="0092095D" w:rsidRPr="00EB653F">
        <w:rPr>
          <w:rFonts w:cs="Arial"/>
          <w:b/>
          <w:bCs/>
        </w:rPr>
        <w:t xml:space="preserve">ve své nabídce (jako součást harmonogramu) požadovanou </w:t>
      </w:r>
      <w:r w:rsidRPr="00EB653F">
        <w:rPr>
          <w:rFonts w:cs="Arial"/>
          <w:b/>
          <w:bCs/>
        </w:rPr>
        <w:t>součinnost zadavatele pro splnění harmonogramu plnění</w:t>
      </w:r>
      <w:r w:rsidR="00FD5488" w:rsidRPr="00EB653F">
        <w:rPr>
          <w:rFonts w:cs="Arial"/>
          <w:b/>
          <w:bCs/>
        </w:rPr>
        <w:t>.</w:t>
      </w:r>
      <w:bookmarkEnd w:id="19"/>
    </w:p>
    <w:sectPr w:rsidR="0025188D" w:rsidRPr="00EB653F" w:rsidSect="0072503E">
      <w:pgSz w:w="11906" w:h="16838"/>
      <w:pgMar w:top="1417" w:right="1417" w:bottom="1417" w:left="1417" w:header="708" w:footer="6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93EF" w14:textId="77777777" w:rsidR="00BC63A3" w:rsidRDefault="00BC63A3" w:rsidP="003369D6">
      <w:r>
        <w:separator/>
      </w:r>
    </w:p>
  </w:endnote>
  <w:endnote w:type="continuationSeparator" w:id="0">
    <w:p w14:paraId="357BF2BE" w14:textId="77777777" w:rsidR="00BC63A3" w:rsidRDefault="00BC63A3" w:rsidP="003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0B63" w14:textId="0861F84A" w:rsidR="00FD5488" w:rsidRPr="00FD5488" w:rsidRDefault="00FD5488" w:rsidP="00FD5488">
    <w:pPr>
      <w:pStyle w:val="Zpat"/>
      <w:jc w:val="right"/>
      <w:rPr>
        <w:sz w:val="18"/>
        <w:szCs w:val="18"/>
      </w:rPr>
    </w:pPr>
    <w:r w:rsidRPr="00FD5488">
      <w:rPr>
        <w:sz w:val="18"/>
        <w:szCs w:val="18"/>
      </w:rPr>
      <w:t xml:space="preserve">- </w:t>
    </w:r>
    <w:r w:rsidRPr="00FD5488">
      <w:rPr>
        <w:sz w:val="18"/>
        <w:szCs w:val="18"/>
      </w:rPr>
      <w:fldChar w:fldCharType="begin"/>
    </w:r>
    <w:r w:rsidRPr="00FD5488">
      <w:rPr>
        <w:sz w:val="18"/>
        <w:szCs w:val="18"/>
      </w:rPr>
      <w:instrText xml:space="preserve"> PAGE   \* MERGEFORMAT </w:instrText>
    </w:r>
    <w:r w:rsidRPr="00FD5488">
      <w:rPr>
        <w:sz w:val="18"/>
        <w:szCs w:val="18"/>
      </w:rPr>
      <w:fldChar w:fldCharType="separate"/>
    </w:r>
    <w:r w:rsidR="00E26658">
      <w:rPr>
        <w:noProof/>
        <w:sz w:val="18"/>
        <w:szCs w:val="18"/>
      </w:rPr>
      <w:t>8</w:t>
    </w:r>
    <w:r w:rsidRPr="00FD5488">
      <w:rPr>
        <w:sz w:val="18"/>
        <w:szCs w:val="18"/>
      </w:rPr>
      <w:fldChar w:fldCharType="end"/>
    </w:r>
    <w:r w:rsidRPr="00FD5488">
      <w:rPr>
        <w:sz w:val="18"/>
        <w:szCs w:val="18"/>
      </w:rPr>
      <w:t xml:space="preserve"> / </w:t>
    </w:r>
    <w:r w:rsidRPr="00FD5488">
      <w:rPr>
        <w:sz w:val="18"/>
        <w:szCs w:val="18"/>
      </w:rPr>
      <w:fldChar w:fldCharType="begin"/>
    </w:r>
    <w:r w:rsidRPr="00FD5488">
      <w:rPr>
        <w:sz w:val="18"/>
        <w:szCs w:val="18"/>
      </w:rPr>
      <w:instrText xml:space="preserve"> NUMPAGES   \* MERGEFORMAT </w:instrText>
    </w:r>
    <w:r w:rsidRPr="00FD5488">
      <w:rPr>
        <w:sz w:val="18"/>
        <w:szCs w:val="18"/>
      </w:rPr>
      <w:fldChar w:fldCharType="separate"/>
    </w:r>
    <w:r w:rsidR="00E26658">
      <w:rPr>
        <w:noProof/>
        <w:sz w:val="18"/>
        <w:szCs w:val="18"/>
      </w:rPr>
      <w:t>9</w:t>
    </w:r>
    <w:r w:rsidRPr="00FD5488">
      <w:rPr>
        <w:sz w:val="18"/>
        <w:szCs w:val="18"/>
      </w:rPr>
      <w:fldChar w:fldCharType="end"/>
    </w:r>
    <w:r w:rsidRPr="00FD548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384D" w14:textId="77777777" w:rsidR="00BC63A3" w:rsidRDefault="00BC63A3" w:rsidP="003369D6">
      <w:r>
        <w:separator/>
      </w:r>
    </w:p>
  </w:footnote>
  <w:footnote w:type="continuationSeparator" w:id="0">
    <w:p w14:paraId="41BD2100" w14:textId="77777777" w:rsidR="00BC63A3" w:rsidRDefault="00BC63A3" w:rsidP="0033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A746" w14:textId="0E255273" w:rsidR="00640528" w:rsidRDefault="005011CD" w:rsidP="003369D6">
    <w:r>
      <w:rPr>
        <w:noProof/>
        <w:lang w:eastAsia="cs-CZ"/>
      </w:rPr>
      <w:drawing>
        <wp:inline distT="0" distB="0" distL="0" distR="0" wp14:anchorId="48D8C744" wp14:editId="3F614C1A">
          <wp:extent cx="5580380" cy="603250"/>
          <wp:effectExtent l="0" t="0" r="1270" b="6350"/>
          <wp:docPr id="7408340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CEF9" w14:textId="77777777" w:rsidR="00640528" w:rsidRDefault="00BC63A3" w:rsidP="003369D6">
    <w:r>
      <w:rPr>
        <w:noProof/>
        <w:lang w:eastAsia="cs-CZ"/>
      </w:rPr>
      <w:drawing>
        <wp:inline distT="0" distB="0" distL="0" distR="0" wp14:anchorId="55F16FF1" wp14:editId="2A6044C6">
          <wp:extent cx="5270500" cy="870585"/>
          <wp:effectExtent l="0" t="0" r="0" b="0"/>
          <wp:docPr id="1552030277" name="Obrázek 1552030277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1A9"/>
    <w:multiLevelType w:val="hybridMultilevel"/>
    <w:tmpl w:val="95902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2A6"/>
    <w:multiLevelType w:val="hybridMultilevel"/>
    <w:tmpl w:val="24B80014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73685"/>
    <w:multiLevelType w:val="multilevel"/>
    <w:tmpl w:val="08DC4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495250B"/>
    <w:multiLevelType w:val="hybridMultilevel"/>
    <w:tmpl w:val="A232EB3E"/>
    <w:lvl w:ilvl="0" w:tplc="42566594">
      <w:start w:val="1"/>
      <w:numFmt w:val="bullet"/>
      <w:pStyle w:val="Odrkaedivkurzva-ern"/>
      <w:lvlText w:val="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302"/>
    <w:multiLevelType w:val="hybridMultilevel"/>
    <w:tmpl w:val="593A87C8"/>
    <w:lvl w:ilvl="0" w:tplc="FFFFFFFF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2094"/>
    <w:multiLevelType w:val="hybridMultilevel"/>
    <w:tmpl w:val="FCB0962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ACA4C64"/>
    <w:multiLevelType w:val="hybridMultilevel"/>
    <w:tmpl w:val="B3B01F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839A7"/>
    <w:multiLevelType w:val="hybridMultilevel"/>
    <w:tmpl w:val="D6A2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232F"/>
    <w:multiLevelType w:val="hybridMultilevel"/>
    <w:tmpl w:val="A53C6E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B7913"/>
    <w:multiLevelType w:val="hybridMultilevel"/>
    <w:tmpl w:val="99CE1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4E0"/>
    <w:multiLevelType w:val="hybridMultilevel"/>
    <w:tmpl w:val="9166A41A"/>
    <w:lvl w:ilvl="0" w:tplc="A8D228C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61A1"/>
    <w:multiLevelType w:val="hybridMultilevel"/>
    <w:tmpl w:val="66A6609A"/>
    <w:lvl w:ilvl="0" w:tplc="7F8235D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2F11"/>
    <w:multiLevelType w:val="hybridMultilevel"/>
    <w:tmpl w:val="B3B01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18E7"/>
    <w:multiLevelType w:val="singleLevel"/>
    <w:tmpl w:val="3C364F3E"/>
    <w:lvl w:ilvl="0">
      <w:start w:val="2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C74E07"/>
    <w:multiLevelType w:val="hybridMultilevel"/>
    <w:tmpl w:val="EEB8C2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009F3"/>
    <w:multiLevelType w:val="multilevel"/>
    <w:tmpl w:val="DBDAE9DC"/>
    <w:lvl w:ilvl="0">
      <w:start w:val="1"/>
      <w:numFmt w:val="bullet"/>
      <w:pStyle w:val="Odrk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4A729B"/>
    <w:multiLevelType w:val="hybridMultilevel"/>
    <w:tmpl w:val="F6AA9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4BBD"/>
    <w:multiLevelType w:val="hybridMultilevel"/>
    <w:tmpl w:val="6068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A186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B5076"/>
    <w:multiLevelType w:val="hybridMultilevel"/>
    <w:tmpl w:val="E424EE3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B361A6D"/>
    <w:multiLevelType w:val="hybridMultilevel"/>
    <w:tmpl w:val="197A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52934"/>
    <w:multiLevelType w:val="hybridMultilevel"/>
    <w:tmpl w:val="D98ED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64D63"/>
    <w:multiLevelType w:val="hybridMultilevel"/>
    <w:tmpl w:val="225E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46F4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5912C7A"/>
    <w:multiLevelType w:val="hybridMultilevel"/>
    <w:tmpl w:val="12E2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17FCD"/>
    <w:multiLevelType w:val="hybridMultilevel"/>
    <w:tmpl w:val="C38A0610"/>
    <w:lvl w:ilvl="0" w:tplc="E8C0A0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24EFD"/>
    <w:multiLevelType w:val="hybridMultilevel"/>
    <w:tmpl w:val="EEB8C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01AE3"/>
    <w:multiLevelType w:val="multilevel"/>
    <w:tmpl w:val="AC52577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7ED04259"/>
    <w:multiLevelType w:val="multilevel"/>
    <w:tmpl w:val="27368894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pStyle w:val="Nadpi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4789621">
    <w:abstractNumId w:val="27"/>
  </w:num>
  <w:num w:numId="2" w16cid:durableId="1845627639">
    <w:abstractNumId w:val="16"/>
  </w:num>
  <w:num w:numId="3" w16cid:durableId="553732292">
    <w:abstractNumId w:val="1"/>
  </w:num>
  <w:num w:numId="4" w16cid:durableId="823009971">
    <w:abstractNumId w:val="6"/>
  </w:num>
  <w:num w:numId="5" w16cid:durableId="1699504175">
    <w:abstractNumId w:val="2"/>
  </w:num>
  <w:num w:numId="6" w16cid:durableId="1174303209">
    <w:abstractNumId w:val="2"/>
    <w:lvlOverride w:ilvl="0">
      <w:startOverride w:val="1"/>
    </w:lvlOverride>
  </w:num>
  <w:num w:numId="7" w16cid:durableId="1876654102">
    <w:abstractNumId w:val="20"/>
  </w:num>
  <w:num w:numId="8" w16cid:durableId="2070298824">
    <w:abstractNumId w:val="5"/>
  </w:num>
  <w:num w:numId="9" w16cid:durableId="563176496">
    <w:abstractNumId w:val="27"/>
  </w:num>
  <w:num w:numId="10" w16cid:durableId="1433430458">
    <w:abstractNumId w:val="27"/>
  </w:num>
  <w:num w:numId="11" w16cid:durableId="1520586314">
    <w:abstractNumId w:val="25"/>
  </w:num>
  <w:num w:numId="12" w16cid:durableId="3944024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537802">
    <w:abstractNumId w:val="19"/>
  </w:num>
  <w:num w:numId="14" w16cid:durableId="1772429682">
    <w:abstractNumId w:val="28"/>
  </w:num>
  <w:num w:numId="15" w16cid:durableId="2027440439">
    <w:abstractNumId w:val="9"/>
  </w:num>
  <w:num w:numId="16" w16cid:durableId="8835161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580334">
    <w:abstractNumId w:val="16"/>
  </w:num>
  <w:num w:numId="18" w16cid:durableId="26025154">
    <w:abstractNumId w:val="27"/>
  </w:num>
  <w:num w:numId="19" w16cid:durableId="348680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76689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4082143">
    <w:abstractNumId w:val="4"/>
  </w:num>
  <w:num w:numId="22" w16cid:durableId="9952576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488068">
    <w:abstractNumId w:val="28"/>
    <w:lvlOverride w:ilvl="0">
      <w:startOverride w:val="1"/>
    </w:lvlOverride>
  </w:num>
  <w:num w:numId="24" w16cid:durableId="1630015162">
    <w:abstractNumId w:val="14"/>
  </w:num>
  <w:num w:numId="25" w16cid:durableId="470711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68251">
    <w:abstractNumId w:val="27"/>
  </w:num>
  <w:num w:numId="27" w16cid:durableId="1303388996">
    <w:abstractNumId w:val="27"/>
  </w:num>
  <w:num w:numId="28" w16cid:durableId="1856382201">
    <w:abstractNumId w:val="28"/>
  </w:num>
  <w:num w:numId="29" w16cid:durableId="1305509032">
    <w:abstractNumId w:val="12"/>
  </w:num>
  <w:num w:numId="30" w16cid:durableId="210652163">
    <w:abstractNumId w:val="23"/>
  </w:num>
  <w:num w:numId="31" w16cid:durableId="163471510">
    <w:abstractNumId w:val="13"/>
  </w:num>
  <w:num w:numId="32" w16cid:durableId="766998479">
    <w:abstractNumId w:val="11"/>
  </w:num>
  <w:num w:numId="33" w16cid:durableId="401879144">
    <w:abstractNumId w:val="12"/>
  </w:num>
  <w:num w:numId="34" w16cid:durableId="1725181506">
    <w:abstractNumId w:val="7"/>
  </w:num>
  <w:num w:numId="35" w16cid:durableId="131871018">
    <w:abstractNumId w:val="26"/>
  </w:num>
  <w:num w:numId="36" w16cid:durableId="257182441">
    <w:abstractNumId w:val="12"/>
  </w:num>
  <w:num w:numId="37" w16cid:durableId="360518402">
    <w:abstractNumId w:val="15"/>
  </w:num>
  <w:num w:numId="38" w16cid:durableId="1090196872">
    <w:abstractNumId w:val="8"/>
  </w:num>
  <w:num w:numId="39" w16cid:durableId="33047485">
    <w:abstractNumId w:val="24"/>
  </w:num>
  <w:num w:numId="40" w16cid:durableId="845168271">
    <w:abstractNumId w:val="21"/>
  </w:num>
  <w:num w:numId="41" w16cid:durableId="643774116">
    <w:abstractNumId w:val="22"/>
  </w:num>
  <w:num w:numId="42" w16cid:durableId="904948884">
    <w:abstractNumId w:val="10"/>
  </w:num>
  <w:num w:numId="43" w16cid:durableId="1630478666">
    <w:abstractNumId w:val="28"/>
  </w:num>
  <w:num w:numId="44" w16cid:durableId="1158611298">
    <w:abstractNumId w:val="28"/>
  </w:num>
  <w:num w:numId="45" w16cid:durableId="1690984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6190549">
    <w:abstractNumId w:val="18"/>
  </w:num>
  <w:num w:numId="47" w16cid:durableId="352801198">
    <w:abstractNumId w:val="0"/>
  </w:num>
  <w:num w:numId="48" w16cid:durableId="1839997066">
    <w:abstractNumId w:val="17"/>
  </w:num>
  <w:num w:numId="49" w16cid:durableId="868488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28"/>
    <w:rsid w:val="000405C3"/>
    <w:rsid w:val="000438FE"/>
    <w:rsid w:val="00047FD5"/>
    <w:rsid w:val="00064DAF"/>
    <w:rsid w:val="00065A83"/>
    <w:rsid w:val="0009080A"/>
    <w:rsid w:val="00095A30"/>
    <w:rsid w:val="000F085B"/>
    <w:rsid w:val="001131B7"/>
    <w:rsid w:val="00136028"/>
    <w:rsid w:val="00145ABB"/>
    <w:rsid w:val="001552F4"/>
    <w:rsid w:val="001F61CC"/>
    <w:rsid w:val="002154B5"/>
    <w:rsid w:val="00245EA2"/>
    <w:rsid w:val="0025188D"/>
    <w:rsid w:val="00311134"/>
    <w:rsid w:val="00330485"/>
    <w:rsid w:val="003369D6"/>
    <w:rsid w:val="0034018C"/>
    <w:rsid w:val="00352936"/>
    <w:rsid w:val="00360633"/>
    <w:rsid w:val="003B7754"/>
    <w:rsid w:val="003D5E88"/>
    <w:rsid w:val="003F50D5"/>
    <w:rsid w:val="00422E16"/>
    <w:rsid w:val="00440228"/>
    <w:rsid w:val="00485A2A"/>
    <w:rsid w:val="005011CD"/>
    <w:rsid w:val="00541856"/>
    <w:rsid w:val="0055679E"/>
    <w:rsid w:val="00593337"/>
    <w:rsid w:val="005F0711"/>
    <w:rsid w:val="006028BB"/>
    <w:rsid w:val="00640528"/>
    <w:rsid w:val="006650BA"/>
    <w:rsid w:val="006927C4"/>
    <w:rsid w:val="00700834"/>
    <w:rsid w:val="00711171"/>
    <w:rsid w:val="007202B7"/>
    <w:rsid w:val="0072503E"/>
    <w:rsid w:val="007B014D"/>
    <w:rsid w:val="00803D76"/>
    <w:rsid w:val="00885E5F"/>
    <w:rsid w:val="00892AF5"/>
    <w:rsid w:val="008D4B90"/>
    <w:rsid w:val="008D610C"/>
    <w:rsid w:val="008F1F15"/>
    <w:rsid w:val="0092095D"/>
    <w:rsid w:val="00936224"/>
    <w:rsid w:val="009B3165"/>
    <w:rsid w:val="009C352E"/>
    <w:rsid w:val="009D2A20"/>
    <w:rsid w:val="00A30B70"/>
    <w:rsid w:val="00A3686A"/>
    <w:rsid w:val="00A72FCE"/>
    <w:rsid w:val="00AA4A89"/>
    <w:rsid w:val="00AE0DF5"/>
    <w:rsid w:val="00AF53BD"/>
    <w:rsid w:val="00AF651C"/>
    <w:rsid w:val="00BC63A3"/>
    <w:rsid w:val="00C74177"/>
    <w:rsid w:val="00CA5030"/>
    <w:rsid w:val="00CB534A"/>
    <w:rsid w:val="00CD516C"/>
    <w:rsid w:val="00CE514D"/>
    <w:rsid w:val="00CF42DA"/>
    <w:rsid w:val="00CF52D2"/>
    <w:rsid w:val="00DA1B36"/>
    <w:rsid w:val="00DE3CF9"/>
    <w:rsid w:val="00E26658"/>
    <w:rsid w:val="00E464E6"/>
    <w:rsid w:val="00E47A58"/>
    <w:rsid w:val="00E5478A"/>
    <w:rsid w:val="00EB653F"/>
    <w:rsid w:val="00ED6188"/>
    <w:rsid w:val="00F7090C"/>
    <w:rsid w:val="00F835C2"/>
    <w:rsid w:val="00F85A38"/>
    <w:rsid w:val="00FA0407"/>
    <w:rsid w:val="00FA4C08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55C397"/>
  <w15:docId w15:val="{1E3B8F31-3542-4E7B-8601-484B94A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9D6"/>
    <w:pPr>
      <w:spacing w:before="120" w:after="120"/>
      <w:jc w:val="both"/>
    </w:pPr>
    <w:rPr>
      <w:rFonts w:ascii="Arial" w:eastAsia="Calibri" w:hAnsi="Arial"/>
      <w:kern w:val="0"/>
      <w:sz w:val="20"/>
      <w:szCs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7E0921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A30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5A2A"/>
    <w:pPr>
      <w:keepNext/>
      <w:keepLines/>
      <w:numPr>
        <w:ilvl w:val="2"/>
        <w:numId w:val="1"/>
      </w:numPr>
      <w:ind w:left="567" w:hanging="567"/>
      <w:outlineLvl w:val="2"/>
    </w:pPr>
    <w:rPr>
      <w:rFonts w:asciiTheme="majorHAnsi" w:eastAsia="Times New Roman" w:hAnsiTheme="majorHAnsi" w:cstheme="majorBidi"/>
      <w:color w:val="5B9BD5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921"/>
    <w:pPr>
      <w:keepNext/>
      <w:keepLines/>
      <w:numPr>
        <w:ilvl w:val="3"/>
        <w:numId w:val="1"/>
      </w:numPr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921"/>
    <w:pPr>
      <w:keepNext/>
      <w:keepLines/>
      <w:numPr>
        <w:ilvl w:val="4"/>
        <w:numId w:val="1"/>
      </w:numPr>
      <w:spacing w:before="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921"/>
    <w:pPr>
      <w:keepNext/>
      <w:keepLines/>
      <w:numPr>
        <w:ilvl w:val="5"/>
        <w:numId w:val="1"/>
      </w:numPr>
      <w:spacing w:before="40" w:line="36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921"/>
    <w:pPr>
      <w:keepNext/>
      <w:keepLines/>
      <w:numPr>
        <w:ilvl w:val="6"/>
        <w:numId w:val="1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921"/>
    <w:pPr>
      <w:keepNext/>
      <w:keepLines/>
      <w:numPr>
        <w:ilvl w:val="7"/>
        <w:numId w:val="1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921"/>
    <w:pPr>
      <w:keepNext/>
      <w:keepLines/>
      <w:numPr>
        <w:ilvl w:val="8"/>
        <w:numId w:val="1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E0921"/>
  </w:style>
  <w:style w:type="character" w:customStyle="1" w:styleId="ZpatChar">
    <w:name w:val="Zápatí Char"/>
    <w:basedOn w:val="Standardnpsmoodstavce"/>
    <w:link w:val="Zpat"/>
    <w:uiPriority w:val="99"/>
    <w:qFormat/>
    <w:rsid w:val="007E0921"/>
  </w:style>
  <w:style w:type="character" w:customStyle="1" w:styleId="Nadpis1Char">
    <w:name w:val="Nadpis 1 Char"/>
    <w:basedOn w:val="Standardnpsmoodstavce"/>
    <w:link w:val="Nadpis1"/>
    <w:uiPriority w:val="9"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95A30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485A2A"/>
    <w:rPr>
      <w:rFonts w:asciiTheme="majorHAnsi" w:eastAsia="Times New Roman" w:hAnsiTheme="majorHAnsi" w:cstheme="majorBidi"/>
      <w:color w:val="5B9BD5" w:themeColor="accent1"/>
      <w:kern w:val="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E0921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E092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E0921"/>
    <w:rPr>
      <w:color w:val="0563C1" w:themeColor="hyperlink"/>
      <w:u w:val="single"/>
    </w:rPr>
  </w:style>
  <w:style w:type="character" w:customStyle="1" w:styleId="Odkaznarejstk">
    <w:name w:val="Odkaz na rejstřík"/>
    <w:qFormat/>
  </w:style>
  <w:style w:type="paragraph" w:customStyle="1" w:styleId="Hlavnnadpis">
    <w:name w:val="Hlavní nadpis"/>
    <w:basedOn w:val="NadpisA"/>
    <w:next w:val="Zkladntext"/>
    <w:qFormat/>
    <w:rsid w:val="00CF52D2"/>
    <w:pPr>
      <w:numPr>
        <w:numId w:val="0"/>
      </w:numPr>
      <w:ind w:left="360" w:hanging="360"/>
    </w:pPr>
    <w:rPr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Hlavikarejstku">
    <w:name w:val="index heading"/>
    <w:basedOn w:val="Hlavnnadpis"/>
  </w:style>
  <w:style w:type="paragraph" w:styleId="Nadpisobsahu">
    <w:name w:val="TOC Heading"/>
    <w:basedOn w:val="Nadpis1"/>
    <w:next w:val="Normln"/>
    <w:uiPriority w:val="39"/>
    <w:unhideWhenUsed/>
    <w:qFormat/>
    <w:rsid w:val="007E0921"/>
    <w:pPr>
      <w:numPr>
        <w:numId w:val="0"/>
      </w:numPr>
      <w:spacing w:before="480" w:line="276" w:lineRule="auto"/>
      <w:jc w:val="left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02B7"/>
    <w:pPr>
      <w:tabs>
        <w:tab w:val="left" w:pos="691"/>
        <w:tab w:val="right" w:leader="dot" w:pos="9062"/>
      </w:tabs>
      <w:spacing w:before="240" w:line="360" w:lineRule="auto"/>
      <w:ind w:firstLine="284"/>
    </w:pPr>
    <w:rPr>
      <w:rFonts w:cs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7E0921"/>
    <w:pPr>
      <w:spacing w:line="360" w:lineRule="auto"/>
      <w:ind w:left="240" w:firstLine="284"/>
    </w:pPr>
    <w:rPr>
      <w:rFonts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E0921"/>
    <w:pPr>
      <w:spacing w:line="360" w:lineRule="auto"/>
      <w:ind w:left="480" w:firstLine="284"/>
    </w:pPr>
    <w:rPr>
      <w:rFonts w:cstheme="minorHAnsi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3369D6"/>
    <w:pPr>
      <w:numPr>
        <w:numId w:val="29"/>
      </w:numPr>
    </w:pPr>
  </w:style>
  <w:style w:type="paragraph" w:customStyle="1" w:styleId="Odrka">
    <w:name w:val="Odrážka"/>
    <w:basedOn w:val="Normln"/>
    <w:qFormat/>
    <w:rsid w:val="00D24E17"/>
    <w:pPr>
      <w:numPr>
        <w:numId w:val="2"/>
      </w:numPr>
    </w:pPr>
  </w:style>
  <w:style w:type="paragraph" w:styleId="Bezmezer">
    <w:name w:val="No Spacing"/>
    <w:aliases w:val="Normal tučny"/>
    <w:basedOn w:val="Nadpis1"/>
    <w:link w:val="BezmezerChar"/>
    <w:uiPriority w:val="1"/>
    <w:qFormat/>
    <w:rsid w:val="00BB04A3"/>
    <w:pPr>
      <w:numPr>
        <w:numId w:val="0"/>
      </w:numPr>
      <w:jc w:val="center"/>
    </w:pPr>
    <w:rPr>
      <w:b/>
      <w:bCs/>
    </w:rPr>
  </w:style>
  <w:style w:type="paragraph" w:styleId="Obsah4">
    <w:name w:val="toc 4"/>
    <w:basedOn w:val="Rejstk"/>
  </w:style>
  <w:style w:type="paragraph" w:styleId="Obsah5">
    <w:name w:val="toc 5"/>
    <w:basedOn w:val="Rejstk"/>
  </w:style>
  <w:style w:type="paragraph" w:styleId="Obsah6">
    <w:name w:val="toc 6"/>
    <w:basedOn w:val="Rejstk"/>
  </w:style>
  <w:style w:type="paragraph" w:styleId="Obsah7">
    <w:name w:val="toc 7"/>
    <w:basedOn w:val="Rejstk"/>
  </w:style>
  <w:style w:type="paragraph" w:styleId="Obsah8">
    <w:name w:val="toc 8"/>
    <w:basedOn w:val="Rejstk"/>
  </w:style>
  <w:style w:type="paragraph" w:styleId="Obsah9">
    <w:name w:val="toc 9"/>
    <w:basedOn w:val="Rejstk"/>
  </w:style>
  <w:style w:type="table" w:styleId="Svtltabulkasmkou1zvraznn1">
    <w:name w:val="Grid Table 1 Light Accent 1"/>
    <w:basedOn w:val="Normlntabulka"/>
    <w:uiPriority w:val="46"/>
    <w:rsid w:val="00100D82"/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10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35C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paragraph" w:styleId="Textkomente">
    <w:name w:val="annotation text"/>
    <w:basedOn w:val="Normln"/>
    <w:link w:val="TextkomenteChar1"/>
    <w:unhideWhenUsed/>
    <w:rsid w:val="00F835C2"/>
    <w:pPr>
      <w:suppressAutoHyphens w:val="0"/>
      <w:spacing w:after="160"/>
      <w:jc w:val="left"/>
    </w:pPr>
    <w:rPr>
      <w:rFonts w:asciiTheme="minorHAnsi" w:eastAsiaTheme="minorHAnsi" w:hAnsiTheme="minorHAnsi"/>
    </w:rPr>
  </w:style>
  <w:style w:type="character" w:customStyle="1" w:styleId="TextkomenteChar">
    <w:name w:val="Text komentáře Char"/>
    <w:basedOn w:val="Standardnpsmoodstavce"/>
    <w:uiPriority w:val="99"/>
    <w:semiHidden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TextkomenteChar1">
    <w:name w:val="Text komentáře Char1"/>
    <w:basedOn w:val="Standardnpsmoodstavce"/>
    <w:link w:val="Textkomente"/>
    <w:rsid w:val="00F835C2"/>
    <w:rPr>
      <w:kern w:val="0"/>
      <w:sz w:val="20"/>
      <w:szCs w:val="20"/>
      <w14:ligatures w14:val="none"/>
    </w:rPr>
  </w:style>
  <w:style w:type="paragraph" w:styleId="Textvysvtlivek">
    <w:name w:val="endnote text"/>
    <w:basedOn w:val="Normln"/>
    <w:link w:val="TextvysvtlivekChar"/>
    <w:semiHidden/>
    <w:rsid w:val="00F835C2"/>
    <w:pPr>
      <w:suppressAutoHyphens w:val="0"/>
      <w:spacing w:after="60"/>
    </w:pPr>
    <w:rPr>
      <w:rFonts w:eastAsia="Times New Roman" w:cs="Times New Roman"/>
      <w:sz w:val="22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5C2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2-2">
    <w:name w:val="2-2*"/>
    <w:basedOn w:val="Normln"/>
    <w:rsid w:val="00F835C2"/>
    <w:pPr>
      <w:numPr>
        <w:numId w:val="3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2-2a">
    <w:name w:val="2-2)a"/>
    <w:basedOn w:val="Normln"/>
    <w:rsid w:val="00F835C2"/>
    <w:pPr>
      <w:numPr>
        <w:numId w:val="5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NadpisA">
    <w:name w:val="Nadpis A"/>
    <w:basedOn w:val="Nadpis1"/>
    <w:link w:val="NadpisAChar"/>
    <w:qFormat/>
    <w:rsid w:val="003369D6"/>
    <w:pPr>
      <w:numPr>
        <w:numId w:val="14"/>
      </w:numPr>
      <w:spacing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dpisAChar">
    <w:name w:val="Nadpis A Char"/>
    <w:basedOn w:val="Nadpis1Char"/>
    <w:link w:val="NadpisA"/>
    <w:rsid w:val="003369D6"/>
    <w:rPr>
      <w:rFonts w:ascii="Arial" w:eastAsiaTheme="majorEastAsia" w:hAnsi="Arial" w:cs="Arial"/>
      <w:b/>
      <w:bCs/>
      <w:color w:val="2E74B5" w:themeColor="accent1" w:themeShade="BF"/>
      <w:kern w:val="0"/>
      <w:sz w:val="24"/>
      <w:szCs w:val="24"/>
    </w:rPr>
  </w:style>
  <w:style w:type="paragraph" w:customStyle="1" w:styleId="Nadpis">
    <w:name w:val="Nadpis"/>
    <w:basedOn w:val="NadpisA"/>
    <w:link w:val="NadpisChar"/>
    <w:qFormat/>
    <w:rsid w:val="003369D6"/>
    <w:pPr>
      <w:numPr>
        <w:ilvl w:val="1"/>
      </w:numPr>
      <w:ind w:left="567" w:hanging="567"/>
    </w:pPr>
    <w:rPr>
      <w:sz w:val="20"/>
      <w:szCs w:val="20"/>
    </w:rPr>
  </w:style>
  <w:style w:type="character" w:customStyle="1" w:styleId="NadpisChar">
    <w:name w:val="Nadpis Char"/>
    <w:basedOn w:val="Nadpis1Char"/>
    <w:link w:val="Nadpis"/>
    <w:rsid w:val="003369D6"/>
    <w:rPr>
      <w:rFonts w:ascii="Arial" w:eastAsiaTheme="majorEastAsia" w:hAnsi="Arial" w:cs="Arial"/>
      <w:b/>
      <w:bCs/>
      <w:color w:val="2E74B5" w:themeColor="accent1" w:themeShade="BF"/>
      <w:kern w:val="0"/>
      <w:sz w:val="20"/>
      <w:szCs w:val="20"/>
    </w:rPr>
  </w:style>
  <w:style w:type="paragraph" w:customStyle="1" w:styleId="Odrkaedivkurzva-ern">
    <w:name w:val="Odrážka šedivá kurzíva - černá"/>
    <w:basedOn w:val="Odstavecseseznamem"/>
    <w:qFormat/>
    <w:rsid w:val="00245EA2"/>
    <w:pPr>
      <w:numPr>
        <w:numId w:val="21"/>
      </w:numPr>
      <w:tabs>
        <w:tab w:val="num" w:pos="360"/>
      </w:tabs>
      <w:suppressAutoHyphens w:val="0"/>
      <w:spacing w:before="60" w:after="60"/>
      <w:ind w:left="453" w:hanging="340"/>
    </w:pPr>
    <w:rPr>
      <w:rFonts w:eastAsiaTheme="minorHAnsi" w:cs="Times New Roman"/>
      <w:i/>
      <w:color w:val="7F7F7F" w:themeColor="text1" w:themeTint="8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7202B7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99"/>
    <w:qFormat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CF52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2D2"/>
    <w:pPr>
      <w:suppressAutoHyphens/>
      <w:spacing w:after="120"/>
      <w:jc w:val="both"/>
    </w:pPr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CF52D2"/>
    <w:rPr>
      <w:rFonts w:ascii="Arial" w:eastAsia="Calibri" w:hAnsi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330485"/>
    <w:pPr>
      <w:suppressAutoHyphens w:val="0"/>
    </w:pPr>
    <w:rPr>
      <w:rFonts w:ascii="Arial" w:eastAsia="Calibri" w:hAnsi="Arial"/>
      <w:kern w:val="0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5188D"/>
    <w:rPr>
      <w:rFonts w:ascii="Arial" w:eastAsia="Calibri" w:hAnsi="Arial"/>
      <w:kern w:val="0"/>
      <w:sz w:val="20"/>
      <w:szCs w:val="20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5188D"/>
    <w:pPr>
      <w:suppressAutoHyphens w:val="0"/>
      <w:spacing w:before="0"/>
    </w:pPr>
    <w:rPr>
      <w:rFonts w:eastAsia="MS ??" w:cs="Times New Roman"/>
      <w:szCs w:val="24"/>
      <w:lang w:eastAsia="cs-CZ"/>
      <w14:ligatures w14:val="none"/>
    </w:rPr>
  </w:style>
  <w:style w:type="character" w:customStyle="1" w:styleId="Normln-OdstavecCharChar">
    <w:name w:val="Normální - Odstavec Char Char"/>
    <w:link w:val="Normln-Odstavec"/>
    <w:uiPriority w:val="99"/>
    <w:locked/>
    <w:rsid w:val="0025188D"/>
    <w:rPr>
      <w:rFonts w:ascii="Arial" w:eastAsia="MS ??" w:hAnsi="Arial" w:cs="Times New Roman"/>
      <w:kern w:val="0"/>
      <w:sz w:val="20"/>
      <w:szCs w:val="24"/>
      <w:lang w:eastAsia="cs-CZ"/>
      <w14:ligatures w14:val="none"/>
    </w:rPr>
  </w:style>
  <w:style w:type="character" w:customStyle="1" w:styleId="BezmezerChar">
    <w:name w:val="Bez mezer Char"/>
    <w:aliases w:val="Normal tučny Char"/>
    <w:link w:val="Bezmezer"/>
    <w:uiPriority w:val="1"/>
    <w:rsid w:val="001552F4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32"/>
      <w:szCs w:val="32"/>
    </w:rPr>
  </w:style>
  <w:style w:type="character" w:styleId="Siln">
    <w:name w:val="Strong"/>
    <w:uiPriority w:val="22"/>
    <w:qFormat/>
    <w:rsid w:val="008F1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2065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dc:description/>
  <cp:lastModifiedBy>Adminio s.r.o.</cp:lastModifiedBy>
  <cp:revision>5</cp:revision>
  <dcterms:created xsi:type="dcterms:W3CDTF">2025-04-03T09:26:00Z</dcterms:created>
  <dcterms:modified xsi:type="dcterms:W3CDTF">2025-05-15T13:50:00Z</dcterms:modified>
  <dc:language>cs-CZ</dc:language>
</cp:coreProperties>
</file>