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8325E5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8325E5">
        <w:rPr>
          <w:rFonts w:ascii="Tahoma" w:hAnsi="Tahoma" w:cs="Tahoma"/>
          <w:sz w:val="20"/>
          <w:szCs w:val="22"/>
        </w:rPr>
        <w:t xml:space="preserve"> </w:t>
      </w:r>
    </w:p>
    <w:p w:rsidR="0046140A" w:rsidRDefault="008325E5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smluvních</w:t>
      </w:r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="0046140A"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8325E5" w:rsidRPr="00633675" w:rsidRDefault="008325E5" w:rsidP="008325E5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technických:</w:t>
      </w:r>
      <w:r>
        <w:rPr>
          <w:rFonts w:ascii="Tahoma" w:hAnsi="Tahoma" w:cs="Tahoma"/>
          <w:sz w:val="20"/>
          <w:szCs w:val="22"/>
        </w:rPr>
        <w:tab/>
        <w:t>prim. Vladimírem Kurfürstem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  <w:t>C</w:t>
      </w:r>
      <w:r w:rsidRPr="008E52BF">
        <w:rPr>
          <w:rFonts w:ascii="Tahoma" w:hAnsi="Tahoma" w:cs="Tahoma"/>
          <w:sz w:val="20"/>
          <w:szCs w:val="22"/>
        </w:rPr>
        <w:t>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KS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ab/>
      </w:r>
      <w:bookmarkStart w:id="2" w:name="_Hlk82416148"/>
      <w:r w:rsidRPr="007C0279">
        <w:rPr>
          <w:rFonts w:ascii="Tahoma" w:hAnsi="Tahoma" w:cs="Tahoma"/>
          <w:sz w:val="20"/>
          <w:szCs w:val="22"/>
          <w:highlight w:val="yellow"/>
        </w:rPr>
        <w:t>ve věcech smluvních</w:t>
      </w:r>
      <w:bookmarkEnd w:id="2"/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soudem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uzavřena na základě výsledku veřejné zakázky s názvem „</w:t>
      </w:r>
      <w:bookmarkStart w:id="3" w:name="_Hlk201316083"/>
      <w:r w:rsidR="00B76908" w:rsidRPr="00E206DA">
        <w:rPr>
          <w:rFonts w:ascii="Tahoma" w:hAnsi="Tahoma" w:cs="Tahoma"/>
          <w:b/>
          <w:sz w:val="20"/>
          <w:szCs w:val="20"/>
        </w:rPr>
        <w:t>Zápůjčka 2 automatických systémů pro kultivaci a detekci mikroorganismů a dodávky příslušného spotřebního materiálu</w:t>
      </w:r>
      <w:bookmarkEnd w:id="3"/>
      <w:r w:rsidR="00B35F85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.</w:t>
      </w:r>
    </w:p>
    <w:p w:rsidR="00AC45F4" w:rsidRPr="00EE3DC1" w:rsidRDefault="00AC45F4" w:rsidP="00EE3DC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CE5772">
        <w:rPr>
          <w:rFonts w:ascii="Tahoma" w:hAnsi="Tahoma"/>
          <w:b/>
          <w:sz w:val="20"/>
          <w:szCs w:val="20"/>
        </w:rPr>
        <w:t xml:space="preserve">dodávek </w:t>
      </w:r>
      <w:r w:rsidR="00F45122">
        <w:rPr>
          <w:rFonts w:ascii="Tahoma" w:hAnsi="Tahoma"/>
          <w:b/>
          <w:sz w:val="20"/>
          <w:szCs w:val="20"/>
        </w:rPr>
        <w:t xml:space="preserve">spotřebního materiálu </w:t>
      </w:r>
      <w:r w:rsidR="00B35F85" w:rsidRPr="00EE3DC1">
        <w:rPr>
          <w:rFonts w:ascii="Tahoma" w:hAnsi="Tahoma"/>
          <w:sz w:val="20"/>
          <w:szCs w:val="20"/>
        </w:rPr>
        <w:t xml:space="preserve">po dobu </w:t>
      </w:r>
      <w:r w:rsidR="00F45122" w:rsidRPr="00EE3DC1">
        <w:rPr>
          <w:rFonts w:ascii="Tahoma" w:hAnsi="Tahoma"/>
          <w:sz w:val="20"/>
          <w:szCs w:val="20"/>
        </w:rPr>
        <w:t>4</w:t>
      </w:r>
      <w:r w:rsidR="00914A6C" w:rsidRPr="00EE3DC1">
        <w:rPr>
          <w:rFonts w:ascii="Tahoma" w:hAnsi="Tahoma"/>
          <w:sz w:val="20"/>
          <w:szCs w:val="20"/>
        </w:rPr>
        <w:t xml:space="preserve"> let</w:t>
      </w:r>
      <w:r w:rsidR="000654E0" w:rsidRPr="00EE3DC1">
        <w:rPr>
          <w:rFonts w:ascii="Tahoma" w:hAnsi="Tahoma" w:cs="Tahoma"/>
          <w:sz w:val="20"/>
          <w:szCs w:val="20"/>
        </w:rPr>
        <w:t xml:space="preserve">, a to za podmínek blíže specifikovaných v Zadávací dokumentaci vztahující se ke shora označené veřejné zakázce, včetně jejích příloh. </w:t>
      </w:r>
    </w:p>
    <w:p w:rsidR="00B76908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Součástí předmětu plnění je </w:t>
      </w:r>
      <w:r w:rsidRPr="001C61AE">
        <w:rPr>
          <w:rFonts w:ascii="Tahoma" w:hAnsi="Tahoma" w:cs="Tahoma"/>
          <w:sz w:val="20"/>
          <w:szCs w:val="20"/>
        </w:rPr>
        <w:t>bezplatná výpůjčka</w:t>
      </w:r>
      <w:r w:rsidR="00125D84">
        <w:rPr>
          <w:rFonts w:ascii="Tahoma" w:hAnsi="Tahoma" w:cs="Tahoma"/>
          <w:sz w:val="20"/>
          <w:szCs w:val="20"/>
        </w:rPr>
        <w:t xml:space="preserve"> </w:t>
      </w:r>
      <w:r w:rsidR="00125D84" w:rsidRPr="00125D84">
        <w:rPr>
          <w:rFonts w:ascii="Tahoma" w:hAnsi="Tahoma" w:cs="Tahoma"/>
          <w:b/>
          <w:sz w:val="20"/>
          <w:szCs w:val="20"/>
        </w:rPr>
        <w:t>1 ks automatického systému</w:t>
      </w:r>
      <w:r w:rsidR="00125D84">
        <w:rPr>
          <w:rFonts w:ascii="Tahoma" w:hAnsi="Tahoma" w:cs="Tahoma"/>
          <w:sz w:val="20"/>
          <w:szCs w:val="20"/>
        </w:rPr>
        <w:t xml:space="preserve"> pro kultivaci mykobakterií, realizovaná za podmínek podrobně vymezených v samostatné smlouvě o výpůjčce.</w:t>
      </w:r>
    </w:p>
    <w:p w:rsidR="0046140A" w:rsidRPr="00464915" w:rsidRDefault="0046140A" w:rsidP="0065366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64915">
        <w:rPr>
          <w:rFonts w:ascii="Tahoma" w:hAnsi="Tahoma" w:cs="Tahoma"/>
          <w:sz w:val="20"/>
          <w:szCs w:val="20"/>
        </w:rPr>
        <w:t xml:space="preserve">Prodávající se zavazuje </w:t>
      </w:r>
      <w:r w:rsidR="00420C46" w:rsidRPr="00464915">
        <w:rPr>
          <w:rFonts w:ascii="Tahoma" w:hAnsi="Tahoma" w:cs="Tahoma"/>
          <w:sz w:val="20"/>
          <w:szCs w:val="20"/>
        </w:rPr>
        <w:t xml:space="preserve">pravidelně </w:t>
      </w:r>
      <w:r w:rsidRPr="00464915">
        <w:rPr>
          <w:rFonts w:ascii="Tahoma" w:hAnsi="Tahoma" w:cs="Tahoma"/>
          <w:sz w:val="20"/>
          <w:szCs w:val="20"/>
        </w:rPr>
        <w:t>dod</w:t>
      </w:r>
      <w:r w:rsidR="00536683" w:rsidRPr="00464915">
        <w:rPr>
          <w:rFonts w:ascii="Tahoma" w:hAnsi="Tahoma" w:cs="Tahoma"/>
          <w:sz w:val="20"/>
          <w:szCs w:val="20"/>
        </w:rPr>
        <w:t>áv</w:t>
      </w:r>
      <w:r w:rsidR="00AC45F4" w:rsidRPr="00464915">
        <w:rPr>
          <w:rFonts w:ascii="Tahoma" w:hAnsi="Tahoma" w:cs="Tahoma"/>
          <w:sz w:val="20"/>
          <w:szCs w:val="20"/>
        </w:rPr>
        <w:t>at kupujícímu</w:t>
      </w:r>
      <w:r w:rsidR="00420C46" w:rsidRPr="00464915">
        <w:rPr>
          <w:rFonts w:ascii="Tahoma" w:hAnsi="Tahoma" w:cs="Tahoma"/>
          <w:sz w:val="20"/>
          <w:szCs w:val="20"/>
        </w:rPr>
        <w:t xml:space="preserve"> </w:t>
      </w:r>
      <w:r w:rsidR="00B76908" w:rsidRPr="00464915">
        <w:rPr>
          <w:rFonts w:ascii="Tahoma" w:hAnsi="Tahoma" w:cs="Tahoma"/>
          <w:sz w:val="20"/>
          <w:szCs w:val="20"/>
        </w:rPr>
        <w:t>spotřební materiál</w:t>
      </w:r>
      <w:r w:rsidR="00EE3DC1" w:rsidRPr="00464915">
        <w:rPr>
          <w:rFonts w:ascii="Tahoma" w:hAnsi="Tahoma" w:cs="Tahoma"/>
          <w:sz w:val="20"/>
          <w:szCs w:val="20"/>
        </w:rPr>
        <w:t xml:space="preserve">. </w:t>
      </w:r>
      <w:r w:rsidR="00557BF4" w:rsidRPr="00464915">
        <w:rPr>
          <w:rFonts w:ascii="Tahoma" w:hAnsi="Tahoma" w:cs="Tahoma"/>
          <w:sz w:val="20"/>
          <w:szCs w:val="20"/>
        </w:rPr>
        <w:t>K</w:t>
      </w:r>
      <w:r w:rsidRPr="00464915">
        <w:rPr>
          <w:rFonts w:ascii="Tahoma" w:hAnsi="Tahoma" w:cs="Tahoma"/>
          <w:sz w:val="20"/>
          <w:szCs w:val="20"/>
        </w:rPr>
        <w:t>upující se zavazuje prodávajícímu za poskytnuté plnění zaplatit za podmínek uvedených v této smlouvě kupní cenu dle čl. V této smlouvy. Součástí předmětu plnění je doprava zboží do místa plnění</w:t>
      </w:r>
      <w:r w:rsidR="00464915">
        <w:rPr>
          <w:rFonts w:ascii="Tahoma" w:hAnsi="Tahoma" w:cs="Tahoma"/>
          <w:sz w:val="20"/>
          <w:szCs w:val="20"/>
        </w:rPr>
        <w:t>.</w:t>
      </w:r>
      <w:r w:rsidRPr="00464915">
        <w:rPr>
          <w:rFonts w:ascii="Tahoma" w:hAnsi="Tahoma" w:cs="Tahoma"/>
          <w:sz w:val="20"/>
          <w:szCs w:val="20"/>
        </w:rPr>
        <w:t xml:space="preserve"> </w:t>
      </w:r>
    </w:p>
    <w:p w:rsidR="003912CF" w:rsidRPr="009529C3" w:rsidRDefault="008E6DD4" w:rsidP="009529C3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529C3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="00F45122" w:rsidRPr="009529C3">
        <w:rPr>
          <w:rFonts w:ascii="Tahoma" w:hAnsi="Tahoma" w:cs="Tahoma"/>
          <w:sz w:val="20"/>
          <w:szCs w:val="20"/>
        </w:rPr>
        <w:t>exspirace musí být v okamžiku dodání m</w:t>
      </w:r>
      <w:r w:rsidR="00464915">
        <w:rPr>
          <w:rFonts w:ascii="Tahoma" w:hAnsi="Tahoma" w:cs="Tahoma"/>
          <w:sz w:val="20"/>
          <w:szCs w:val="20"/>
        </w:rPr>
        <w:t>inimálně 6 měsíců.</w:t>
      </w:r>
      <w:r w:rsidR="00F45122" w:rsidRPr="009529C3">
        <w:rPr>
          <w:rFonts w:ascii="Tahoma" w:hAnsi="Tahoma" w:cs="Tahoma"/>
          <w:sz w:val="20"/>
          <w:szCs w:val="20"/>
        </w:rPr>
        <w:t xml:space="preserve"> </w:t>
      </w:r>
      <w:r w:rsidRPr="009529C3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</w:p>
    <w:p w:rsidR="007A64E0" w:rsidRDefault="00411B59" w:rsidP="008B6FDF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564A8">
        <w:rPr>
          <w:rFonts w:ascii="Tahoma" w:hAnsi="Tahoma" w:cs="Tahoma"/>
          <w:sz w:val="20"/>
          <w:szCs w:val="20"/>
        </w:rPr>
        <w:t xml:space="preserve">Prodávající </w:t>
      </w:r>
      <w:r w:rsidR="00EC193C" w:rsidRPr="00A564A8">
        <w:rPr>
          <w:rFonts w:ascii="Tahoma" w:hAnsi="Tahoma" w:cs="Tahoma"/>
          <w:sz w:val="20"/>
          <w:szCs w:val="20"/>
        </w:rPr>
        <w:t>doložil čestné prohlášení do nabídky</w:t>
      </w:r>
      <w:r w:rsidR="005064A5" w:rsidRPr="00A564A8">
        <w:rPr>
          <w:rFonts w:ascii="Tahoma" w:hAnsi="Tahoma" w:cs="Tahoma"/>
          <w:sz w:val="20"/>
          <w:szCs w:val="20"/>
        </w:rPr>
        <w:t xml:space="preserve"> (</w:t>
      </w:r>
      <w:r w:rsidR="007133E4" w:rsidRPr="00A564A8">
        <w:rPr>
          <w:rFonts w:ascii="Tahoma" w:hAnsi="Tahoma" w:cs="Tahoma"/>
          <w:sz w:val="20"/>
          <w:szCs w:val="20"/>
        </w:rPr>
        <w:t>P</w:t>
      </w:r>
      <w:r w:rsidR="00914A6C" w:rsidRPr="00A564A8">
        <w:rPr>
          <w:rFonts w:ascii="Tahoma" w:hAnsi="Tahoma" w:cs="Tahoma"/>
          <w:sz w:val="20"/>
          <w:szCs w:val="20"/>
        </w:rPr>
        <w:t xml:space="preserve">říloha č. </w:t>
      </w:r>
      <w:r w:rsidR="00F70F0D" w:rsidRPr="00A564A8">
        <w:rPr>
          <w:rFonts w:ascii="Tahoma" w:hAnsi="Tahoma" w:cs="Tahoma"/>
          <w:sz w:val="20"/>
          <w:szCs w:val="20"/>
        </w:rPr>
        <w:t>3</w:t>
      </w:r>
      <w:r w:rsidR="007133E4" w:rsidRPr="00A564A8">
        <w:rPr>
          <w:rFonts w:ascii="Tahoma" w:hAnsi="Tahoma" w:cs="Tahoma"/>
          <w:sz w:val="20"/>
          <w:szCs w:val="20"/>
        </w:rPr>
        <w:t xml:space="preserve"> ZD</w:t>
      </w:r>
      <w:r w:rsidR="005064A5" w:rsidRPr="00A564A8">
        <w:rPr>
          <w:rFonts w:ascii="Tahoma" w:hAnsi="Tahoma" w:cs="Tahoma"/>
          <w:sz w:val="20"/>
          <w:szCs w:val="20"/>
        </w:rPr>
        <w:t>)</w:t>
      </w:r>
      <w:r w:rsidR="00DC77B0" w:rsidRPr="00A564A8">
        <w:rPr>
          <w:rFonts w:ascii="Tahoma" w:hAnsi="Tahoma" w:cs="Tahoma"/>
          <w:sz w:val="20"/>
          <w:szCs w:val="20"/>
        </w:rPr>
        <w:t xml:space="preserve"> a následně jako vítězný účastník</w:t>
      </w:r>
      <w:r w:rsidR="00EC193C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poskytl</w:t>
      </w:r>
      <w:r w:rsidRPr="00A564A8">
        <w:rPr>
          <w:rFonts w:ascii="Tahoma" w:hAnsi="Tahoma" w:cs="Tahoma"/>
          <w:sz w:val="20"/>
          <w:szCs w:val="20"/>
        </w:rPr>
        <w:t xml:space="preserve"> zadavateli všechny doklady </w:t>
      </w:r>
      <w:r w:rsidR="009816DF" w:rsidRPr="00A564A8">
        <w:rPr>
          <w:rFonts w:ascii="Tahoma" w:hAnsi="Tahoma" w:cs="Tahoma"/>
          <w:sz w:val="20"/>
          <w:szCs w:val="20"/>
        </w:rPr>
        <w:t>k jednotlivým položkám</w:t>
      </w:r>
      <w:r w:rsidR="00C82151" w:rsidRPr="00A564A8">
        <w:rPr>
          <w:rFonts w:ascii="Tahoma" w:hAnsi="Tahoma" w:cs="Tahoma"/>
          <w:sz w:val="20"/>
          <w:szCs w:val="20"/>
        </w:rPr>
        <w:t>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 xml:space="preserve">prokazující, že předmět plnění (tj. </w:t>
      </w:r>
      <w:r w:rsidR="009529C3">
        <w:rPr>
          <w:rFonts w:ascii="Tahoma" w:hAnsi="Tahoma" w:cs="Tahoma"/>
          <w:sz w:val="20"/>
          <w:szCs w:val="20"/>
        </w:rPr>
        <w:t>diagnostika</w:t>
      </w:r>
      <w:r w:rsidR="007A64E0" w:rsidRPr="00A564A8">
        <w:rPr>
          <w:rFonts w:ascii="Tahoma" w:hAnsi="Tahoma" w:cs="Tahoma"/>
          <w:sz w:val="20"/>
          <w:szCs w:val="20"/>
        </w:rPr>
        <w:t xml:space="preserve">) </w:t>
      </w:r>
      <w:r w:rsidR="008B6FDF" w:rsidRPr="00A564A8">
        <w:rPr>
          <w:rFonts w:ascii="Tahoma" w:hAnsi="Tahoma" w:cs="Tahoma"/>
          <w:sz w:val="20"/>
          <w:szCs w:val="20"/>
        </w:rPr>
        <w:t xml:space="preserve">splňuje požadavky nařízení EU 2017/746 o diagnostických zdravotnických prostředcích in vitro </w:t>
      </w:r>
      <w:r w:rsidR="007A64E0" w:rsidRPr="00A564A8">
        <w:rPr>
          <w:rFonts w:ascii="Tahoma" w:hAnsi="Tahoma" w:cs="Tahoma"/>
          <w:sz w:val="20"/>
          <w:szCs w:val="20"/>
        </w:rPr>
        <w:t>a je z hlediska právních předpisů způsobilý a vhodný pro poskytování zdravotní péče. Dále poskytl doklady ke splnění vešk</w:t>
      </w:r>
      <w:r w:rsidR="004E76B6" w:rsidRPr="00A564A8">
        <w:rPr>
          <w:rFonts w:ascii="Tahoma" w:hAnsi="Tahoma" w:cs="Tahoma"/>
          <w:sz w:val="20"/>
          <w:szCs w:val="20"/>
        </w:rPr>
        <w:t xml:space="preserve">erých </w:t>
      </w:r>
      <w:r w:rsidR="007A64E0" w:rsidRPr="00A564A8">
        <w:rPr>
          <w:rFonts w:ascii="Tahoma" w:hAnsi="Tahoma" w:cs="Tahoma"/>
          <w:sz w:val="20"/>
          <w:szCs w:val="20"/>
        </w:rPr>
        <w:t>požadavků zákona č.</w:t>
      </w:r>
      <w:r w:rsidR="00445F0C" w:rsidRPr="00A564A8">
        <w:rPr>
          <w:rFonts w:ascii="Tahoma" w:hAnsi="Tahoma" w:cs="Tahoma"/>
          <w:sz w:val="20"/>
          <w:szCs w:val="20"/>
        </w:rPr>
        <w:t xml:space="preserve"> </w:t>
      </w:r>
      <w:r w:rsidR="008B6FDF" w:rsidRPr="00A564A8">
        <w:rPr>
          <w:rFonts w:ascii="Tahoma" w:hAnsi="Tahoma" w:cs="Tahoma"/>
          <w:sz w:val="20"/>
          <w:szCs w:val="20"/>
        </w:rPr>
        <w:t>375/2022</w:t>
      </w:r>
      <w:r w:rsidR="007A64E0" w:rsidRPr="00A564A8">
        <w:rPr>
          <w:rFonts w:ascii="Tahoma" w:hAnsi="Tahoma" w:cs="Tahoma"/>
          <w:sz w:val="20"/>
          <w:szCs w:val="20"/>
        </w:rPr>
        <w:t xml:space="preserve"> Sb., o zdravotnických prostředcích, ve znění pozdějších předpisů a jeho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prováděcích předpisů,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kterými stanoví technické požadavky na zdravotnické prostředky.</w:t>
      </w:r>
      <w:r w:rsidR="00A65549" w:rsidRPr="00A564A8">
        <w:rPr>
          <w:rFonts w:ascii="Tahoma" w:hAnsi="Tahoma" w:cs="Tahoma"/>
          <w:sz w:val="20"/>
          <w:szCs w:val="20"/>
        </w:rPr>
        <w:t xml:space="preserve"> 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6664E7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2E01D8">
        <w:rPr>
          <w:rFonts w:ascii="Tahoma" w:hAnsi="Tahoma" w:cs="Tahoma"/>
          <w:bCs/>
          <w:sz w:val="20"/>
          <w:szCs w:val="20"/>
        </w:rPr>
        <w:t>Slezská nemocnice v Opavě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464915">
        <w:rPr>
          <w:rFonts w:ascii="Tahoma" w:hAnsi="Tahoma" w:cs="Tahoma"/>
          <w:sz w:val="20"/>
          <w:szCs w:val="20"/>
        </w:rPr>
        <w:t>pavilon O – úsek lékařské mikrobiologie</w:t>
      </w:r>
      <w:r w:rsidRPr="006A3DE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>(dále jen „uživatel“) v průběžných dodávkác</w:t>
      </w:r>
      <w:r w:rsidR="006664E7">
        <w:rPr>
          <w:rFonts w:ascii="Tahoma" w:hAnsi="Tahoma" w:cs="Tahoma"/>
          <w:sz w:val="20"/>
          <w:szCs w:val="20"/>
        </w:rPr>
        <w:t>h</w:t>
      </w:r>
      <w:r w:rsidR="00AA2379">
        <w:rPr>
          <w:rFonts w:ascii="Tahoma" w:hAnsi="Tahoma" w:cs="Tahoma"/>
          <w:sz w:val="20"/>
          <w:szCs w:val="20"/>
        </w:rPr>
        <w:t xml:space="preserve"> </w:t>
      </w:r>
      <w:r w:rsidR="00AA2379" w:rsidRPr="002E01D8">
        <w:rPr>
          <w:rFonts w:ascii="Tahoma" w:hAnsi="Tahoma" w:cs="Tahoma"/>
          <w:sz w:val="20"/>
          <w:szCs w:val="20"/>
        </w:rPr>
        <w:t xml:space="preserve">od </w:t>
      </w:r>
      <w:r w:rsidR="00AA2379">
        <w:rPr>
          <w:rFonts w:ascii="Tahoma" w:hAnsi="Tahoma" w:cs="Tahoma"/>
          <w:sz w:val="20"/>
          <w:szCs w:val="20"/>
        </w:rPr>
        <w:t xml:space="preserve">účinnosti </w:t>
      </w:r>
      <w:r w:rsidR="00AA2379" w:rsidRPr="002E01D8">
        <w:rPr>
          <w:rFonts w:ascii="Tahoma" w:hAnsi="Tahoma" w:cs="Tahoma"/>
          <w:sz w:val="20"/>
          <w:szCs w:val="20"/>
        </w:rPr>
        <w:t>kupní smlouvy</w:t>
      </w:r>
      <w:r w:rsidR="00AA2379">
        <w:rPr>
          <w:rFonts w:ascii="Tahoma" w:hAnsi="Tahoma" w:cs="Tahoma"/>
          <w:sz w:val="20"/>
          <w:szCs w:val="20"/>
        </w:rPr>
        <w:t xml:space="preserve"> po dobu 48 měsíců</w:t>
      </w:r>
      <w:r w:rsidR="006664E7">
        <w:rPr>
          <w:rFonts w:ascii="Tahoma" w:hAnsi="Tahoma" w:cs="Tahoma"/>
          <w:sz w:val="20"/>
          <w:szCs w:val="20"/>
        </w:rPr>
        <w:t>.</w:t>
      </w:r>
    </w:p>
    <w:p w:rsidR="00C71EFE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Dodávky budou realizovány na základě dílčích objednávek kupujícího, a to za využití prostředků elektronické komunikace či výjimečně telefonicky.</w:t>
      </w:r>
      <w:r w:rsidR="0046140A" w:rsidRPr="002E01D8">
        <w:rPr>
          <w:rFonts w:ascii="Tahoma" w:hAnsi="Tahoma" w:cs="Tahoma"/>
          <w:sz w:val="20"/>
          <w:szCs w:val="20"/>
        </w:rPr>
        <w:t xml:space="preserve"> </w:t>
      </w:r>
    </w:p>
    <w:p w:rsidR="006664E7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osobou prodávajícího pro účely přijímání objednávek je určen:</w:t>
      </w:r>
    </w:p>
    <w:p w:rsidR="006664E7" w:rsidRPr="006664E7" w:rsidRDefault="006664E7" w:rsidP="006664E7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6664E7">
        <w:rPr>
          <w:rFonts w:ascii="Tahoma" w:hAnsi="Tahoma" w:cs="Tahoma"/>
          <w:sz w:val="20"/>
          <w:szCs w:val="20"/>
        </w:rPr>
        <w:t>méno a příjmení:</w:t>
      </w:r>
      <w:r>
        <w:rPr>
          <w:rFonts w:ascii="Tahoma" w:hAnsi="Tahoma" w:cs="Tahoma"/>
          <w:sz w:val="20"/>
          <w:szCs w:val="20"/>
        </w:rPr>
        <w:tab/>
      </w:r>
      <w:r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Pr="006664E7">
        <w:rPr>
          <w:rFonts w:ascii="Tahoma" w:hAnsi="Tahoma" w:cs="Tahoma"/>
          <w:sz w:val="20"/>
          <w:szCs w:val="22"/>
        </w:rPr>
        <w:t xml:space="preserve"> 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prodávající)</w:t>
      </w:r>
    </w:p>
    <w:p w:rsidR="00C71EFE" w:rsidRPr="006664E7" w:rsidRDefault="006664E7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sz w:val="20"/>
          <w:szCs w:val="22"/>
        </w:rPr>
        <w:t>tel.</w:t>
      </w:r>
      <w:r w:rsidR="00C71EFE" w:rsidRPr="006664E7">
        <w:rPr>
          <w:rFonts w:ascii="Tahoma" w:hAnsi="Tahoma" w:cs="Tahoma"/>
          <w:sz w:val="20"/>
          <w:szCs w:val="22"/>
        </w:rPr>
        <w:t xml:space="preserve">: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C71EFE"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="00C71EFE" w:rsidRPr="006664E7">
        <w:rPr>
          <w:rFonts w:ascii="Tahoma" w:hAnsi="Tahoma" w:cs="Tahoma"/>
          <w:sz w:val="20"/>
          <w:szCs w:val="22"/>
        </w:rPr>
        <w:t xml:space="preserve"> 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 xml:space="preserve">(doplní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prodávající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C71EFE" w:rsidRPr="006664E7" w:rsidRDefault="00C71EFE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iCs/>
          <w:sz w:val="20"/>
          <w:szCs w:val="20"/>
        </w:rPr>
        <w:t xml:space="preserve">e-mail: </w:t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B91ED7" w:rsidRPr="006664E7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Pr="006664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71EFE">
        <w:rPr>
          <w:rFonts w:ascii="Tahoma" w:hAnsi="Tahoma" w:cs="Tahoma"/>
          <w:b/>
          <w:sz w:val="20"/>
          <w:szCs w:val="20"/>
        </w:rPr>
        <w:t xml:space="preserve">do </w:t>
      </w:r>
      <w:r w:rsidR="00AA2379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AA2379">
        <w:rPr>
          <w:rFonts w:ascii="Tahoma" w:hAnsi="Tahoma" w:cs="Tahoma"/>
          <w:b/>
          <w:sz w:val="20"/>
          <w:szCs w:val="20"/>
        </w:rPr>
        <w:t>pracovní</w:t>
      </w:r>
      <w:r w:rsidR="009529C3">
        <w:rPr>
          <w:rFonts w:ascii="Tahoma" w:hAnsi="Tahoma" w:cs="Tahoma"/>
          <w:b/>
          <w:sz w:val="20"/>
          <w:szCs w:val="20"/>
        </w:rPr>
        <w:t>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od 7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– 15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9529C3">
        <w:rPr>
          <w:rFonts w:ascii="Tahoma" w:hAnsi="Tahoma" w:cs="Tahoma"/>
          <w:sz w:val="20"/>
          <w:szCs w:val="20"/>
        </w:rPr>
        <w:t>diagnostika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9529C3">
        <w:rPr>
          <w:rFonts w:ascii="Tahoma" w:hAnsi="Tahoma" w:cs="Tahoma"/>
          <w:sz w:val="20"/>
          <w:szCs w:val="20"/>
        </w:rPr>
        <w:t>čtyř</w:t>
      </w:r>
      <w:r w:rsidR="00D17450" w:rsidRPr="0060091F">
        <w:rPr>
          <w:rFonts w:ascii="Tahoma" w:hAnsi="Tahoma" w:cs="Tahoma"/>
          <w:sz w:val="20"/>
          <w:szCs w:val="20"/>
        </w:rPr>
        <w:t xml:space="preserve"> let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AA2379" w:rsidRDefault="00AA2379" w:rsidP="00AA2379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2379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:rsidR="00FE2CBD" w:rsidRPr="00AA2379" w:rsidRDefault="00FE2CBD" w:rsidP="00FE2CBD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6664E7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AA2379">
        <w:rPr>
          <w:rFonts w:ascii="Tahoma" w:hAnsi="Tahoma" w:cs="Tahoma"/>
          <w:b/>
          <w:sz w:val="20"/>
          <w:szCs w:val="20"/>
        </w:rPr>
        <w:t>21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lastRenderedPageBreak/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EE61B5" w:rsidRPr="00AB2206" w:rsidRDefault="002F6E42" w:rsidP="00653C49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AB2206">
        <w:rPr>
          <w:rFonts w:ascii="Tahoma" w:hAnsi="Tahoma" w:cs="Tahoma"/>
          <w:sz w:val="20"/>
          <w:szCs w:val="20"/>
        </w:rPr>
        <w:t>diagnostika včetně materiálu ve stanovené lhůtě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AA2379">
        <w:rPr>
          <w:rFonts w:ascii="Tahoma" w:hAnsi="Tahoma" w:cs="Tahoma"/>
          <w:sz w:val="20"/>
          <w:szCs w:val="20"/>
        </w:rPr>
        <w:t>(do 10 pracovních dnů)</w:t>
      </w:r>
      <w:r w:rsidRPr="00AB2206">
        <w:rPr>
          <w:rFonts w:ascii="Tahoma" w:hAnsi="Tahoma" w:cs="Tahoma"/>
          <w:sz w:val="20"/>
          <w:szCs w:val="20"/>
        </w:rPr>
        <w:t xml:space="preserve">, je povinen zaplatit kupujícímu smluvní pokutu ve výši 0,05 % z kupní ceny </w:t>
      </w:r>
      <w:r w:rsidR="00FE2CBD">
        <w:rPr>
          <w:rFonts w:ascii="Tahoma" w:hAnsi="Tahoma" w:cs="Tahoma"/>
          <w:sz w:val="20"/>
          <w:szCs w:val="20"/>
        </w:rPr>
        <w:t xml:space="preserve">nedodaného zboží, </w:t>
      </w:r>
      <w:r w:rsidRPr="00AB2206">
        <w:rPr>
          <w:rFonts w:ascii="Tahoma" w:hAnsi="Tahoma" w:cs="Tahoma"/>
          <w:sz w:val="20"/>
          <w:szCs w:val="20"/>
        </w:rPr>
        <w:t>za každý započatý den prodlení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EE61B5" w:rsidRPr="00AB2206">
        <w:rPr>
          <w:rFonts w:ascii="Tahoma" w:hAnsi="Tahoma" w:cs="Tahoma"/>
          <w:sz w:val="20"/>
          <w:szCs w:val="20"/>
        </w:rPr>
        <w:t>včetně DPH.</w:t>
      </w:r>
    </w:p>
    <w:p w:rsidR="00EE61B5" w:rsidRPr="00AB2206" w:rsidRDefault="00EE61B5" w:rsidP="00BC571A">
      <w:pPr>
        <w:pStyle w:val="Odstavecseseznamem"/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AB2206">
        <w:rPr>
          <w:rFonts w:ascii="Tahoma" w:hAnsi="Tahoma" w:cs="Tahoma"/>
          <w:sz w:val="20"/>
          <w:szCs w:val="20"/>
        </w:rPr>
        <w:t>v zákonem stanovené výši</w:t>
      </w:r>
      <w:r w:rsidR="00574C4E" w:rsidRPr="00AB220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AB2206">
        <w:rPr>
          <w:rFonts w:ascii="Tahoma" w:hAnsi="Tahoma" w:cs="Tahoma"/>
          <w:sz w:val="20"/>
          <w:szCs w:val="20"/>
        </w:rPr>
        <w:t>z dl</w:t>
      </w:r>
      <w:r w:rsidRPr="00AB2206">
        <w:rPr>
          <w:rFonts w:ascii="Tahoma" w:hAnsi="Tahoma" w:cs="Tahoma"/>
          <w:sz w:val="20"/>
          <w:szCs w:val="20"/>
        </w:rPr>
        <w:t>užné částky</w:t>
      </w:r>
      <w:r w:rsidR="00B21598">
        <w:rPr>
          <w:rFonts w:ascii="Tahoma" w:hAnsi="Tahoma" w:cs="Tahoma"/>
          <w:sz w:val="20"/>
          <w:szCs w:val="20"/>
        </w:rPr>
        <w:t>,</w:t>
      </w:r>
      <w:r w:rsidRPr="00AB2206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tohoto článku smlouvy, je kupující oprávněn odstoupit od této smlouvy; odstoupení se však nedotýká povinností prodávajícího vyplývajících ze záruky za </w:t>
      </w:r>
      <w:r w:rsidRPr="004F38B1">
        <w:rPr>
          <w:rFonts w:ascii="Tahoma" w:hAnsi="Tahoma" w:cs="Tahoma"/>
          <w:sz w:val="20"/>
        </w:rPr>
        <w:lastRenderedPageBreak/>
        <w:t>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EE61B5" w:rsidRDefault="00EE61B5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Tato smlouva 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se uzavírá 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>na dobu určitou, a to na období 4 let ode dne nabytí účinnosti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této smlouvy s možností prodloužení dodatkem</w:t>
      </w:r>
      <w:r w:rsidR="00475E9D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po vzájemné domluvě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.</w:t>
      </w:r>
    </w:p>
    <w:p w:rsidR="00FD2C28" w:rsidRPr="00FD2C28" w:rsidRDefault="00FD2C28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Tato smlouva zaniká:</w:t>
      </w:r>
    </w:p>
    <w:p w:rsidR="00EE61B5" w:rsidRPr="002E01D8" w:rsidRDefault="00EE61B5" w:rsidP="00DC77B0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EE61B5" w:rsidRPr="002E01D8" w:rsidRDefault="00EE61B5" w:rsidP="00DC77B0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  <w:r w:rsidR="00FD2C28">
        <w:rPr>
          <w:rFonts w:ascii="Tahoma" w:eastAsia="Calibri" w:hAnsi="Tahoma" w:cs="Tahoma"/>
          <w:sz w:val="20"/>
          <w:szCs w:val="20"/>
        </w:rPr>
        <w:t>: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DC77B0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574C4E" w:rsidRPr="00B035EC" w:rsidRDefault="00574C4E" w:rsidP="00DC77B0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60" w:line="276" w:lineRule="auto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 xml:space="preserve">Písemnou výpovědí, kteroukoliv ze smluvních stran, výpovědní lhůta činí </w:t>
      </w:r>
      <w:r w:rsidR="00FD2C28">
        <w:rPr>
          <w:rFonts w:ascii="Tahoma" w:eastAsia="Calibri" w:hAnsi="Tahoma" w:cs="Tahoma"/>
          <w:sz w:val="20"/>
          <w:szCs w:val="20"/>
        </w:rPr>
        <w:t>2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měsíců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4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lastRenderedPageBreak/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5" w:name="_Hlk82415956"/>
      <w:bookmarkEnd w:id="4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5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4586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A76" w:rsidRDefault="006F5A76" w:rsidP="00CA4C3A">
      <w:r>
        <w:separator/>
      </w:r>
    </w:p>
  </w:endnote>
  <w:endnote w:type="continuationSeparator" w:id="0">
    <w:p w:rsidR="006F5A76" w:rsidRDefault="006F5A76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4B" w:rsidRDefault="00A65F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6F5A76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A81633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B76908">
              <w:rPr>
                <w:rFonts w:ascii="Tahoma" w:hAnsi="Tahoma" w:cs="Tahoma"/>
                <w:sz w:val="20"/>
                <w:szCs w:val="20"/>
              </w:rPr>
              <w:t>21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B76908">
              <w:rPr>
                <w:rFonts w:ascii="Tahoma" w:hAnsi="Tahoma" w:cs="Tahoma"/>
                <w:sz w:val="20"/>
                <w:szCs w:val="20"/>
              </w:rPr>
              <w:t xml:space="preserve">zápůjčka </w:t>
            </w:r>
            <w:proofErr w:type="spellStart"/>
            <w:proofErr w:type="gramStart"/>
            <w:r w:rsidR="00B76908">
              <w:rPr>
                <w:rFonts w:ascii="Tahoma" w:hAnsi="Tahoma" w:cs="Tahoma"/>
                <w:sz w:val="20"/>
                <w:szCs w:val="20"/>
              </w:rPr>
              <w:t>autom.systémů</w:t>
            </w:r>
            <w:proofErr w:type="spellEnd"/>
            <w:proofErr w:type="gramEnd"/>
          </w:p>
          <w:p w:rsidR="00BD67D0" w:rsidRDefault="006F5A76">
            <w:pPr>
              <w:pStyle w:val="Zpat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4B" w:rsidRDefault="00A65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A76" w:rsidRDefault="006F5A76" w:rsidP="00CA4C3A">
      <w:r>
        <w:separator/>
      </w:r>
    </w:p>
  </w:footnote>
  <w:footnote w:type="continuationSeparator" w:id="0">
    <w:p w:rsidR="006F5A76" w:rsidRDefault="006F5A76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4B" w:rsidRDefault="00A65F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Pr="003E124A">
      <w:rPr>
        <w:rFonts w:ascii="Verdana" w:hAnsi="Verdana"/>
        <w:sz w:val="18"/>
        <w:szCs w:val="18"/>
      </w:rPr>
      <w:t>6</w:t>
    </w:r>
    <w:r w:rsidR="00A65F4B">
      <w:rPr>
        <w:rFonts w:ascii="Verdana" w:hAnsi="Verdana"/>
        <w:sz w:val="18"/>
        <w:szCs w:val="18"/>
      </w:rPr>
      <w:t>b</w:t>
    </w:r>
    <w:bookmarkStart w:id="6" w:name="_GoBack"/>
    <w:bookmarkEnd w:id="6"/>
  </w:p>
  <w:p w:rsidR="003E124A" w:rsidRDefault="003E12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83539D"/>
    <w:multiLevelType w:val="hybridMultilevel"/>
    <w:tmpl w:val="F1169A84"/>
    <w:lvl w:ilvl="0" w:tplc="4AA8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94400"/>
    <w:multiLevelType w:val="hybridMultilevel"/>
    <w:tmpl w:val="C70EE9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44E03"/>
    <w:multiLevelType w:val="hybridMultilevel"/>
    <w:tmpl w:val="052C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B588B"/>
    <w:multiLevelType w:val="hybridMultilevel"/>
    <w:tmpl w:val="36BAE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FEE1C8F"/>
    <w:multiLevelType w:val="hybridMultilevel"/>
    <w:tmpl w:val="873E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6"/>
  </w:num>
  <w:num w:numId="14">
    <w:abstractNumId w:val="13"/>
  </w:num>
  <w:num w:numId="15">
    <w:abstractNumId w:val="25"/>
  </w:num>
  <w:num w:numId="16">
    <w:abstractNumId w:val="0"/>
  </w:num>
  <w:num w:numId="17">
    <w:abstractNumId w:val="14"/>
  </w:num>
  <w:num w:numId="18">
    <w:abstractNumId w:val="32"/>
  </w:num>
  <w:num w:numId="19">
    <w:abstractNumId w:val="31"/>
  </w:num>
  <w:num w:numId="20">
    <w:abstractNumId w:val="15"/>
  </w:num>
  <w:num w:numId="21">
    <w:abstractNumId w:val="11"/>
  </w:num>
  <w:num w:numId="22">
    <w:abstractNumId w:val="23"/>
  </w:num>
  <w:num w:numId="23">
    <w:abstractNumId w:val="22"/>
  </w:num>
  <w:num w:numId="24">
    <w:abstractNumId w:val="28"/>
  </w:num>
  <w:num w:numId="25">
    <w:abstractNumId w:val="29"/>
  </w:num>
  <w:num w:numId="26">
    <w:abstractNumId w:val="24"/>
  </w:num>
  <w:num w:numId="27">
    <w:abstractNumId w:val="18"/>
  </w:num>
  <w:num w:numId="28">
    <w:abstractNumId w:val="0"/>
  </w:num>
  <w:num w:numId="29">
    <w:abstractNumId w:val="19"/>
  </w:num>
  <w:num w:numId="30">
    <w:abstractNumId w:val="1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0"/>
  </w:num>
  <w:num w:numId="35">
    <w:abstractNumId w:val="20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25CD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4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19C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4881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60FC2"/>
    <w:rsid w:val="00362B19"/>
    <w:rsid w:val="0036426A"/>
    <w:rsid w:val="0037578F"/>
    <w:rsid w:val="00376394"/>
    <w:rsid w:val="0037660F"/>
    <w:rsid w:val="0038306C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272CB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4915"/>
    <w:rsid w:val="00467528"/>
    <w:rsid w:val="0047049C"/>
    <w:rsid w:val="00471F9D"/>
    <w:rsid w:val="0047429C"/>
    <w:rsid w:val="0047539A"/>
    <w:rsid w:val="00475E9D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5664"/>
    <w:rsid w:val="00665861"/>
    <w:rsid w:val="006664E7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5A76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25E5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29C3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65F4B"/>
    <w:rsid w:val="00A7550A"/>
    <w:rsid w:val="00A77BA8"/>
    <w:rsid w:val="00A77E91"/>
    <w:rsid w:val="00A81633"/>
    <w:rsid w:val="00A83252"/>
    <w:rsid w:val="00A853DB"/>
    <w:rsid w:val="00A94087"/>
    <w:rsid w:val="00AA0452"/>
    <w:rsid w:val="00AA0C63"/>
    <w:rsid w:val="00AA2379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1598"/>
    <w:rsid w:val="00B2532C"/>
    <w:rsid w:val="00B27009"/>
    <w:rsid w:val="00B274F9"/>
    <w:rsid w:val="00B27880"/>
    <w:rsid w:val="00B278B8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76908"/>
    <w:rsid w:val="00B8126C"/>
    <w:rsid w:val="00B90EE9"/>
    <w:rsid w:val="00B91ED7"/>
    <w:rsid w:val="00B94A6A"/>
    <w:rsid w:val="00B97FC6"/>
    <w:rsid w:val="00BA0AA8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2A11"/>
    <w:rsid w:val="00BD58B7"/>
    <w:rsid w:val="00BD67D0"/>
    <w:rsid w:val="00BD6C85"/>
    <w:rsid w:val="00BD79B7"/>
    <w:rsid w:val="00BE40A8"/>
    <w:rsid w:val="00BE5882"/>
    <w:rsid w:val="00BE750C"/>
    <w:rsid w:val="00BF4BB2"/>
    <w:rsid w:val="00BF5478"/>
    <w:rsid w:val="00C001BF"/>
    <w:rsid w:val="00C00975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3DC1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C3B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512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2C28"/>
    <w:rsid w:val="00FD52D4"/>
    <w:rsid w:val="00FD76FB"/>
    <w:rsid w:val="00FD7CB1"/>
    <w:rsid w:val="00FE2CBD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271B1"/>
  <w15:docId w15:val="{1FE56788-B104-4076-8714-DC12A1D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99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52825-7EB0-4916-A853-68CE2347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2320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2024-06-13T07:59:00Z</cp:lastPrinted>
  <dcterms:created xsi:type="dcterms:W3CDTF">2025-07-20T10:51:00Z</dcterms:created>
  <dcterms:modified xsi:type="dcterms:W3CDTF">2025-07-20T10:54:00Z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