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="00676038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</w:t>
      </w:r>
      <w:r w:rsidR="00676038">
        <w:rPr>
          <w:rFonts w:ascii="Tahoma" w:hAnsi="Tahoma" w:cs="Tahoma"/>
          <w:iCs/>
          <w:sz w:val="20"/>
          <w:szCs w:val="20"/>
          <w:highlight w:val="yellow"/>
        </w:rPr>
        <w:t>u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 xml:space="preserve"> v ……………, oddíl …, vložka …</w:t>
      </w:r>
    </w:p>
    <w:p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:rsidR="0046140A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F3972" w:rsidRPr="002E01D8" w:rsidRDefault="002F3972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:rsidR="002F3972" w:rsidRDefault="002F3972">
      <w:pPr>
        <w:widowControl/>
        <w:suppressAutoHyphens w:val="0"/>
        <w:spacing w:after="20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lastRenderedPageBreak/>
        <w:t>III.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F3972" w:rsidRPr="002F3972" w:rsidRDefault="00AC45F4" w:rsidP="004E2774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972"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5B15E1">
        <w:rPr>
          <w:rFonts w:ascii="Tahoma" w:hAnsi="Tahoma" w:cs="Tahoma"/>
          <w:b/>
          <w:sz w:val="20"/>
          <w:szCs w:val="20"/>
        </w:rPr>
        <w:t>„</w:t>
      </w:r>
      <w:r w:rsidR="00207A18" w:rsidRPr="005B15E1">
        <w:rPr>
          <w:rFonts w:ascii="Tahoma" w:hAnsi="Tahoma" w:cs="Tahoma"/>
          <w:b/>
          <w:sz w:val="20"/>
          <w:szCs w:val="20"/>
        </w:rPr>
        <w:t xml:space="preserve">Dodávky </w:t>
      </w:r>
      <w:r w:rsidR="002F3972" w:rsidRPr="005B15E1">
        <w:rPr>
          <w:rFonts w:ascii="Tahoma" w:hAnsi="Tahoma" w:cs="Tahoma"/>
          <w:b/>
          <w:sz w:val="20"/>
          <w:szCs w:val="20"/>
        </w:rPr>
        <w:t>infuzních setů</w:t>
      </w:r>
      <w:r w:rsidR="00B35F85" w:rsidRPr="005B15E1">
        <w:rPr>
          <w:rFonts w:ascii="Tahoma" w:hAnsi="Tahoma" w:cs="Tahoma"/>
          <w:b/>
          <w:sz w:val="20"/>
          <w:szCs w:val="20"/>
        </w:rPr>
        <w:t>“</w:t>
      </w:r>
      <w:r w:rsidR="008864BD" w:rsidRPr="002F3972">
        <w:rPr>
          <w:rFonts w:ascii="Tahoma" w:hAnsi="Tahoma" w:cs="Tahoma"/>
          <w:b/>
          <w:sz w:val="20"/>
          <w:szCs w:val="20"/>
        </w:rPr>
        <w:t>, část</w:t>
      </w:r>
      <w:proofErr w:type="gramStart"/>
      <w:r w:rsidR="008864BD" w:rsidRPr="002F3972">
        <w:rPr>
          <w:rFonts w:ascii="Tahoma" w:hAnsi="Tahoma" w:cs="Tahoma"/>
          <w:b/>
          <w:sz w:val="20"/>
          <w:szCs w:val="20"/>
        </w:rPr>
        <w:t xml:space="preserve"> </w:t>
      </w:r>
      <w:r w:rsidR="002F3972" w:rsidRPr="002F3972">
        <w:rPr>
          <w:rFonts w:ascii="Tahoma" w:hAnsi="Tahoma" w:cs="Tahoma"/>
          <w:b/>
          <w:sz w:val="20"/>
          <w:szCs w:val="20"/>
          <w:highlight w:val="yellow"/>
        </w:rPr>
        <w:t>…</w:t>
      </w:r>
      <w:r w:rsidR="002F3972">
        <w:rPr>
          <w:rFonts w:ascii="Tahoma" w:hAnsi="Tahoma" w:cs="Tahoma"/>
          <w:b/>
          <w:sz w:val="20"/>
          <w:szCs w:val="20"/>
        </w:rPr>
        <w:t>.</w:t>
      </w:r>
      <w:proofErr w:type="gramEnd"/>
      <w:r w:rsidR="002F3972">
        <w:rPr>
          <w:rFonts w:ascii="Tahoma" w:hAnsi="Tahoma" w:cs="Tahoma"/>
          <w:b/>
          <w:sz w:val="20"/>
          <w:szCs w:val="20"/>
        </w:rPr>
        <w:t>.</w:t>
      </w:r>
    </w:p>
    <w:p w:rsidR="0073168E" w:rsidRPr="002F3972" w:rsidRDefault="00AC45F4" w:rsidP="004E2774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972">
        <w:rPr>
          <w:rFonts w:ascii="Tahoma" w:hAnsi="Tahoma" w:cs="Tahoma"/>
          <w:sz w:val="20"/>
          <w:szCs w:val="20"/>
        </w:rPr>
        <w:t>Předmětem plnění dle této smlouvy j</w:t>
      </w:r>
      <w:r w:rsidR="000654E0" w:rsidRPr="002F3972">
        <w:rPr>
          <w:rFonts w:ascii="Tahoma" w:hAnsi="Tahoma" w:cs="Tahoma"/>
          <w:sz w:val="20"/>
          <w:szCs w:val="20"/>
        </w:rPr>
        <w:t xml:space="preserve">e </w:t>
      </w:r>
      <w:r w:rsidR="00914A6C" w:rsidRPr="002F3972">
        <w:rPr>
          <w:rFonts w:ascii="Tahoma" w:hAnsi="Tahoma"/>
          <w:sz w:val="20"/>
          <w:szCs w:val="20"/>
        </w:rPr>
        <w:t>zajištění kompletních opakovaných dodávek</w:t>
      </w:r>
      <w:r w:rsidR="003F1AB1">
        <w:rPr>
          <w:rFonts w:ascii="Tahoma" w:hAnsi="Tahoma"/>
          <w:sz w:val="20"/>
          <w:szCs w:val="20"/>
        </w:rPr>
        <w:t>:</w:t>
      </w:r>
    </w:p>
    <w:p w:rsidR="0073168E" w:rsidRPr="003F1AB1" w:rsidRDefault="002F3972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F1AB1">
        <w:rPr>
          <w:rFonts w:ascii="Tahoma" w:hAnsi="Tahoma" w:cs="Tahoma"/>
          <w:sz w:val="20"/>
          <w:szCs w:val="20"/>
        </w:rPr>
        <w:t>Sety infuzní</w:t>
      </w:r>
      <w:r w:rsidR="00F4691E">
        <w:rPr>
          <w:rFonts w:ascii="Tahoma" w:hAnsi="Tahoma" w:cs="Tahoma"/>
          <w:sz w:val="20"/>
          <w:szCs w:val="20"/>
        </w:rPr>
        <w:t xml:space="preserve"> pro gravitační infuzi</w:t>
      </w:r>
    </w:p>
    <w:p w:rsidR="0073168E" w:rsidRPr="003F1AB1" w:rsidRDefault="003F1AB1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F1AB1">
        <w:rPr>
          <w:rFonts w:ascii="Tahoma" w:hAnsi="Tahoma" w:cs="Tahoma"/>
          <w:sz w:val="20"/>
          <w:szCs w:val="20"/>
        </w:rPr>
        <w:t xml:space="preserve">Sety infuzní pro gravitační infuzi nebo pomocí infuzních pump </w:t>
      </w:r>
    </w:p>
    <w:p w:rsidR="003F1AB1" w:rsidRPr="003F1AB1" w:rsidRDefault="003F1AB1" w:rsidP="0073168E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F1AB1">
        <w:rPr>
          <w:rFonts w:ascii="Tahoma" w:hAnsi="Tahoma" w:cs="Tahoma"/>
          <w:sz w:val="20"/>
          <w:szCs w:val="20"/>
        </w:rPr>
        <w:t>Sety infuzní do volumetrických infuzních pump</w:t>
      </w:r>
    </w:p>
    <w:p w:rsidR="003F1AB1" w:rsidRPr="003F1AB1" w:rsidRDefault="003F1AB1" w:rsidP="003F1AB1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3F1AB1">
        <w:rPr>
          <w:rFonts w:ascii="Tahoma" w:hAnsi="Tahoma" w:cs="Tahoma"/>
          <w:sz w:val="20"/>
          <w:szCs w:val="20"/>
        </w:rPr>
        <w:t>Cyto</w:t>
      </w:r>
      <w:proofErr w:type="spellEnd"/>
      <w:r w:rsidRPr="003F1AB1">
        <w:rPr>
          <w:rFonts w:ascii="Tahoma" w:hAnsi="Tahoma" w:cs="Tahoma"/>
          <w:sz w:val="20"/>
          <w:szCs w:val="20"/>
        </w:rPr>
        <w:t>-sety infuzní</w:t>
      </w:r>
    </w:p>
    <w:p w:rsidR="003F1AB1" w:rsidRPr="003F1AB1" w:rsidRDefault="003F1AB1" w:rsidP="003F1AB1">
      <w:pPr>
        <w:pStyle w:val="Odstavecseseznamem"/>
        <w:widowControl/>
        <w:numPr>
          <w:ilvl w:val="0"/>
          <w:numId w:val="45"/>
        </w:numPr>
        <w:suppressAutoHyphens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F1AB1">
        <w:rPr>
          <w:rFonts w:ascii="Tahoma" w:hAnsi="Tahoma" w:cs="Tahoma"/>
          <w:sz w:val="20"/>
          <w:szCs w:val="20"/>
        </w:rPr>
        <w:t>Hadičky spojovací</w:t>
      </w:r>
    </w:p>
    <w:p w:rsidR="003F1AB1" w:rsidRPr="0073168E" w:rsidRDefault="003F1AB1" w:rsidP="003F1AB1">
      <w:pPr>
        <w:pStyle w:val="Odstavecseseznamem"/>
        <w:widowControl/>
        <w:suppressAutoHyphens w:val="0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DB3EAC" w:rsidRPr="00DB3EAC" w:rsidRDefault="002F3972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 </w:t>
      </w:r>
      <w:r w:rsidR="00DB3EAC"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 w:rsidR="00DB3EAC">
        <w:rPr>
          <w:rFonts w:ascii="Tahoma" w:hAnsi="Tahoma"/>
          <w:i/>
          <w:color w:val="FF0000"/>
          <w:sz w:val="20"/>
          <w:szCs w:val="20"/>
        </w:rPr>
        <w:t xml:space="preserve">se </w:t>
      </w:r>
      <w:r w:rsidR="00DB3EAC" w:rsidRPr="00DB3EAC">
        <w:rPr>
          <w:rFonts w:ascii="Tahoma" w:hAnsi="Tahoma"/>
          <w:i/>
          <w:color w:val="FF0000"/>
          <w:sz w:val="20"/>
          <w:szCs w:val="20"/>
        </w:rPr>
        <w:t>část škrtn</w:t>
      </w:r>
      <w:r w:rsidR="008516FD">
        <w:rPr>
          <w:rFonts w:ascii="Tahoma" w:hAnsi="Tahoma"/>
          <w:i/>
          <w:color w:val="FF0000"/>
          <w:sz w:val="20"/>
          <w:szCs w:val="20"/>
        </w:rPr>
        <w:t>e prodávající</w:t>
      </w:r>
      <w:r w:rsidR="003F1AB1">
        <w:rPr>
          <w:rFonts w:ascii="Tahoma" w:hAnsi="Tahoma"/>
          <w:i/>
          <w:color w:val="FF0000"/>
          <w:sz w:val="20"/>
          <w:szCs w:val="20"/>
        </w:rPr>
        <w:t>, dle části zakázky, do které podal nabídku</w:t>
      </w:r>
      <w:r w:rsidR="00DB3EAC"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:rsidR="00AC45F4" w:rsidRPr="00207A18" w:rsidRDefault="00207A18" w:rsidP="0073168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 </w:t>
      </w:r>
      <w:r w:rsidR="000654E0" w:rsidRPr="00207A18">
        <w:rPr>
          <w:rFonts w:ascii="Tahoma" w:hAnsi="Tahoma"/>
          <w:sz w:val="20"/>
          <w:szCs w:val="20"/>
        </w:rPr>
        <w:t>kupujícího</w:t>
      </w:r>
      <w:r w:rsidR="00B35F85" w:rsidRPr="00207A18">
        <w:rPr>
          <w:rFonts w:ascii="Tahoma" w:hAnsi="Tahoma"/>
          <w:sz w:val="20"/>
          <w:szCs w:val="20"/>
        </w:rPr>
        <w:t xml:space="preserve"> po dobu </w:t>
      </w:r>
      <w:r w:rsidR="00C71EFE" w:rsidRPr="00207A18">
        <w:rPr>
          <w:rFonts w:ascii="Tahoma" w:hAnsi="Tahoma"/>
          <w:sz w:val="20"/>
          <w:szCs w:val="20"/>
        </w:rPr>
        <w:t>2</w:t>
      </w:r>
      <w:r w:rsidR="00914A6C" w:rsidRPr="00207A18">
        <w:rPr>
          <w:rFonts w:ascii="Tahoma" w:hAnsi="Tahoma"/>
          <w:sz w:val="20"/>
          <w:szCs w:val="20"/>
        </w:rPr>
        <w:t xml:space="preserve"> let</w:t>
      </w:r>
      <w:r w:rsidR="000654E0" w:rsidRPr="00207A18">
        <w:rPr>
          <w:rFonts w:ascii="Tahoma" w:hAnsi="Tahoma" w:cs="Tahoma"/>
          <w:sz w:val="20"/>
          <w:szCs w:val="20"/>
        </w:rPr>
        <w:t xml:space="preserve">. </w:t>
      </w:r>
    </w:p>
    <w:p w:rsidR="0046140A" w:rsidRPr="002E01D8" w:rsidRDefault="00557BF4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46140A" w:rsidRPr="005C61A9">
        <w:rPr>
          <w:rFonts w:ascii="Tahoma" w:hAnsi="Tahoma" w:cs="Tahoma"/>
          <w:sz w:val="20"/>
          <w:szCs w:val="20"/>
        </w:rPr>
        <w:t>upující</w:t>
      </w:r>
      <w:r w:rsidR="0046140A" w:rsidRPr="002E01D8">
        <w:rPr>
          <w:rFonts w:ascii="Tahoma" w:hAnsi="Tahoma" w:cs="Tahoma"/>
          <w:sz w:val="20"/>
          <w:szCs w:val="20"/>
        </w:rPr>
        <w:t xml:space="preserve"> se zavazuje prodávajícímu za poskytnuté plnění zaplatit za podmínek uvedených v této smlouvě kupní cenu dle čl. V této smlouvy. </w:t>
      </w:r>
    </w:p>
    <w:p w:rsidR="0046140A" w:rsidRPr="002E01D8" w:rsidRDefault="0046140A" w:rsidP="00BA5F9B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:rsidR="003F1AB1" w:rsidRDefault="003F1AB1" w:rsidP="003F1AB1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Prodávající poskytuje kupujícímu následující záruku na jakost: dodávané zboží musí o</w:t>
      </w:r>
      <w:r>
        <w:rPr>
          <w:rFonts w:ascii="Tahoma" w:hAnsi="Tahoma" w:cs="Tahoma"/>
          <w:sz w:val="20"/>
          <w:szCs w:val="20"/>
        </w:rPr>
        <w:t>d</w:t>
      </w:r>
      <w:r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dobu exspirační lhůty uvedené na obalu zboží způsobilé k řádnému užívání a zachovávat si obvyklé vlastnosti a uživatelský komfort. </w:t>
      </w:r>
    </w:p>
    <w:p w:rsidR="003F1AB1" w:rsidRPr="002F5F96" w:rsidRDefault="003F1AB1" w:rsidP="003F1AB1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 xml:space="preserve">Při nedodržení kteréhokoliv z technických parametrů uvedených </w:t>
      </w:r>
      <w:r>
        <w:rPr>
          <w:rFonts w:ascii="Tahoma" w:hAnsi="Tahoma" w:cs="Tahoma"/>
          <w:sz w:val="20"/>
          <w:szCs w:val="20"/>
        </w:rPr>
        <w:t>zadávacích podmínkách</w:t>
      </w:r>
      <w:r w:rsidRPr="002F5F96">
        <w:rPr>
          <w:rFonts w:ascii="Tahoma" w:hAnsi="Tahoma" w:cs="Tahoma"/>
          <w:sz w:val="20"/>
          <w:szCs w:val="20"/>
        </w:rPr>
        <w:t>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p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:rsidR="002F3972" w:rsidRDefault="0046140A" w:rsidP="008516FD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2F3972">
        <w:rPr>
          <w:rFonts w:ascii="Tahoma" w:hAnsi="Tahoma" w:cs="Tahoma"/>
          <w:sz w:val="20"/>
          <w:szCs w:val="20"/>
        </w:rPr>
        <w:t>:</w:t>
      </w:r>
    </w:p>
    <w:p w:rsidR="002F3972" w:rsidRPr="002F3972" w:rsidRDefault="0046140A" w:rsidP="002F3972">
      <w:pPr>
        <w:pStyle w:val="Odstavecseseznamem"/>
        <w:numPr>
          <w:ilvl w:val="0"/>
          <w:numId w:val="47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F3972">
        <w:rPr>
          <w:rFonts w:ascii="Tahoma" w:hAnsi="Tahoma" w:cs="Tahoma"/>
          <w:sz w:val="20"/>
          <w:szCs w:val="20"/>
        </w:rPr>
        <w:t>sídl</w:t>
      </w:r>
      <w:r w:rsidR="002F3972" w:rsidRPr="002F3972">
        <w:rPr>
          <w:rFonts w:ascii="Tahoma" w:hAnsi="Tahoma" w:cs="Tahoma"/>
          <w:sz w:val="20"/>
          <w:szCs w:val="20"/>
        </w:rPr>
        <w:t>a</w:t>
      </w:r>
      <w:r w:rsidRPr="002F3972">
        <w:rPr>
          <w:rFonts w:ascii="Tahoma" w:hAnsi="Tahoma" w:cs="Tahoma"/>
          <w:sz w:val="20"/>
          <w:szCs w:val="20"/>
        </w:rPr>
        <w:t xml:space="preserve"> uživatele, tj. </w:t>
      </w:r>
      <w:r w:rsidRPr="002F3972">
        <w:rPr>
          <w:rFonts w:ascii="Tahoma" w:hAnsi="Tahoma" w:cs="Tahoma"/>
          <w:bCs/>
          <w:sz w:val="20"/>
          <w:szCs w:val="20"/>
        </w:rPr>
        <w:t>Slezská nemocnice v Opavě</w:t>
      </w:r>
      <w:r w:rsidRPr="002F3972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 w:rsidRPr="002F3972">
        <w:rPr>
          <w:rFonts w:ascii="Tahoma" w:hAnsi="Tahoma" w:cs="Tahoma"/>
          <w:sz w:val="20"/>
          <w:szCs w:val="20"/>
        </w:rPr>
        <w:t>470/</w:t>
      </w:r>
      <w:r w:rsidRPr="002F3972">
        <w:rPr>
          <w:rFonts w:ascii="Tahoma" w:hAnsi="Tahoma" w:cs="Tahoma"/>
          <w:sz w:val="20"/>
          <w:szCs w:val="20"/>
        </w:rPr>
        <w:t xml:space="preserve">86, </w:t>
      </w:r>
      <w:r w:rsidR="005960E5" w:rsidRPr="002F3972">
        <w:rPr>
          <w:rFonts w:ascii="Tahoma" w:hAnsi="Tahoma" w:cs="Tahoma"/>
          <w:sz w:val="20"/>
          <w:szCs w:val="20"/>
        </w:rPr>
        <w:t xml:space="preserve">Předměstí, </w:t>
      </w:r>
      <w:r w:rsidRPr="002F3972">
        <w:rPr>
          <w:rFonts w:ascii="Tahoma" w:hAnsi="Tahoma" w:cs="Tahoma"/>
          <w:sz w:val="20"/>
          <w:szCs w:val="20"/>
        </w:rPr>
        <w:t xml:space="preserve">746 01, Opava, </w:t>
      </w:r>
      <w:r w:rsidR="002F3972" w:rsidRPr="002F3972">
        <w:rPr>
          <w:rFonts w:ascii="Tahoma" w:hAnsi="Tahoma" w:cs="Tahoma"/>
          <w:b/>
          <w:sz w:val="20"/>
          <w:szCs w:val="20"/>
        </w:rPr>
        <w:t>nemocniční lékárna – PZT sklad</w:t>
      </w:r>
    </w:p>
    <w:p w:rsidR="002F3972" w:rsidRDefault="002F3972" w:rsidP="002F3972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nebo</w:t>
      </w:r>
    </w:p>
    <w:p w:rsidR="002F3972" w:rsidRPr="00F86042" w:rsidRDefault="002F3972" w:rsidP="002F3972">
      <w:pPr>
        <w:pStyle w:val="Odstavecseseznamem"/>
        <w:numPr>
          <w:ilvl w:val="0"/>
          <w:numId w:val="4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Logistická společnost NemLog a.s</w:t>
      </w:r>
      <w:r w:rsidRPr="00F86042">
        <w:rPr>
          <w:rFonts w:ascii="Tahoma" w:hAnsi="Tahoma" w:cs="Tahoma"/>
          <w:sz w:val="20"/>
          <w:szCs w:val="20"/>
        </w:rPr>
        <w:t>., se sídlem konsignačního skladu: K Arconu 77, Jažlovice, 251 01 Říčany;</w:t>
      </w:r>
    </w:p>
    <w:p w:rsidR="002F3972" w:rsidRPr="00DB3EAC" w:rsidRDefault="002F3972" w:rsidP="002F3972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>se možnost</w:t>
      </w:r>
      <w:r w:rsidRPr="00DB3EAC">
        <w:rPr>
          <w:rFonts w:ascii="Tahoma" w:hAnsi="Tahoma"/>
          <w:i/>
          <w:color w:val="FF0000"/>
          <w:sz w:val="20"/>
          <w:szCs w:val="20"/>
        </w:rPr>
        <w:t xml:space="preserve"> škrtn</w:t>
      </w:r>
      <w:r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:rsidR="00C71EFE" w:rsidRPr="008516FD" w:rsidRDefault="0046140A" w:rsidP="002F3972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v období od </w:t>
      </w:r>
      <w:r w:rsidR="00702305">
        <w:rPr>
          <w:rFonts w:ascii="Tahoma" w:hAnsi="Tahoma" w:cs="Tahoma"/>
          <w:sz w:val="20"/>
          <w:szCs w:val="20"/>
        </w:rPr>
        <w:t>účinnosti</w:t>
      </w:r>
      <w:r w:rsidRPr="002E01D8">
        <w:rPr>
          <w:rFonts w:ascii="Tahoma" w:hAnsi="Tahoma" w:cs="Tahoma"/>
          <w:sz w:val="20"/>
          <w:szCs w:val="20"/>
        </w:rPr>
        <w:t xml:space="preserve"> kupní smlouvy v průběžných dodávkách dle požadavků kupujícího na základě písemné objednávky, která bude prodávajícímu doručena</w:t>
      </w:r>
      <w:r w:rsidR="008516FD">
        <w:rPr>
          <w:rFonts w:ascii="Tahoma" w:hAnsi="Tahoma" w:cs="Tahoma"/>
          <w:sz w:val="20"/>
          <w:szCs w:val="20"/>
        </w:rPr>
        <w:t xml:space="preserve"> na </w:t>
      </w:r>
      <w:r w:rsidR="00C71EFE" w:rsidRPr="008516FD">
        <w:rPr>
          <w:rFonts w:ascii="Tahoma" w:hAnsi="Tahoma" w:cs="Tahoma"/>
          <w:iCs/>
          <w:sz w:val="20"/>
          <w:szCs w:val="20"/>
        </w:rPr>
        <w:t xml:space="preserve">e-mail: </w:t>
      </w:r>
      <w:r w:rsidR="00B91ED7" w:rsidRPr="008516FD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="00C71EFE" w:rsidRPr="008516FD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8516FD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="00C71EFE" w:rsidRPr="008516FD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 w:rsidR="008516FD"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F3972">
        <w:rPr>
          <w:rFonts w:ascii="Tahoma" w:hAnsi="Tahoma" w:cs="Tahoma"/>
          <w:b/>
          <w:sz w:val="20"/>
          <w:szCs w:val="20"/>
        </w:rPr>
        <w:t>3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F3972">
        <w:rPr>
          <w:rFonts w:ascii="Tahoma" w:hAnsi="Tahoma" w:cs="Tahoma"/>
          <w:b/>
          <w:sz w:val="20"/>
          <w:szCs w:val="20"/>
        </w:rPr>
        <w:t>pracovn</w:t>
      </w:r>
      <w:r w:rsidR="00207A18">
        <w:rPr>
          <w:rFonts w:ascii="Tahoma" w:hAnsi="Tahoma" w:cs="Tahoma"/>
          <w:b/>
          <w:sz w:val="20"/>
          <w:szCs w:val="20"/>
        </w:rPr>
        <w:t>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:rsidR="0097291D" w:rsidRPr="00207A18" w:rsidRDefault="0046140A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:rsidR="00081FF3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:rsidR="009C7DB8" w:rsidRPr="002E01D8" w:rsidRDefault="0005564B" w:rsidP="00BA5F9B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:rsidR="00D47F1B" w:rsidRPr="00AB2206" w:rsidRDefault="001F2C8B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bookmarkStart w:id="2" w:name="_GoBack"/>
      <w:bookmarkEnd w:id="2"/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:rsidR="002D3A3C" w:rsidRPr="0060091F" w:rsidRDefault="003B1E50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:rsidR="0000595D" w:rsidRPr="008554FA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:rsidR="00081FF3" w:rsidRDefault="00081FF3" w:rsidP="007133E4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5E555F" w:rsidRPr="002E01D8" w:rsidRDefault="005E555F" w:rsidP="005E555F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97291D" w:rsidRDefault="00031C21" w:rsidP="00B035C3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:rsidR="00CD3E67" w:rsidRPr="00C701C4" w:rsidRDefault="00CD3E67" w:rsidP="00CD3E67">
      <w:pPr>
        <w:widowControl/>
        <w:numPr>
          <w:ilvl w:val="0"/>
          <w:numId w:val="1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OPA/Hal/202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67B35">
        <w:rPr>
          <w:rFonts w:ascii="Tahoma" w:hAnsi="Tahoma" w:cs="Tahoma"/>
          <w:b/>
          <w:sz w:val="20"/>
          <w:szCs w:val="20"/>
        </w:rPr>
        <w:t>25</w:t>
      </w:r>
      <w:r w:rsidRPr="00C701C4">
        <w:rPr>
          <w:rFonts w:ascii="Tahoma" w:hAnsi="Tahoma" w:cs="Tahoma"/>
          <w:b/>
          <w:sz w:val="20"/>
          <w:szCs w:val="20"/>
        </w:rPr>
        <w:t>.</w:t>
      </w:r>
    </w:p>
    <w:p w:rsidR="00B035C3" w:rsidRDefault="00B035C3" w:rsidP="00CD3E67">
      <w:pPr>
        <w:pStyle w:val="Odstavecseseznamem"/>
        <w:numPr>
          <w:ilvl w:val="0"/>
          <w:numId w:val="19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:rsidR="00B035C3" w:rsidRPr="00CD3E6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 xml:space="preserve">li chybně vyúčtována cena nebo DPH, je kupující oprávněn fakturu před uplynutím lhůty splatnosti vrátit druhé smluvní straně k provedení opravy s vyznačením důvodu vrácení. Prodávající provede opravu </w:t>
      </w:r>
      <w:r w:rsidRPr="00CD3E67">
        <w:rPr>
          <w:rFonts w:ascii="Tahoma" w:hAnsi="Tahoma" w:cs="Tahoma"/>
          <w:sz w:val="20"/>
          <w:szCs w:val="20"/>
        </w:rPr>
        <w:lastRenderedPageBreak/>
        <w:t>vystavením nové faktury. Vrácením vadné faktury prodávajícímu přestává běžet původní lhůta splatnosti. Nová lhůta splatnosti běží ode dne doručení nové faktury kupujícímu.</w:t>
      </w:r>
    </w:p>
    <w:p w:rsidR="00B035C3" w:rsidRPr="00B91ED7" w:rsidRDefault="00B035C3" w:rsidP="00B91ED7">
      <w:pPr>
        <w:pStyle w:val="Odstavecseseznamem"/>
        <w:numPr>
          <w:ilvl w:val="0"/>
          <w:numId w:val="19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příslušného správce daně v případě, že:</w:t>
      </w:r>
    </w:p>
    <w:p w:rsidR="00B035C3" w:rsidRPr="00633675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:rsidR="00B035C3" w:rsidRPr="009D6297" w:rsidRDefault="00B035C3" w:rsidP="00B035C3">
      <w:pPr>
        <w:widowControl/>
        <w:numPr>
          <w:ilvl w:val="0"/>
          <w:numId w:val="20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:rsidR="00351F6A" w:rsidRPr="00BC4687" w:rsidRDefault="002F6E42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="00351F6A" w:rsidRPr="00BC4687">
        <w:rPr>
          <w:rFonts w:ascii="Tahoma" w:hAnsi="Tahoma" w:cs="Tahoma"/>
          <w:sz w:val="20"/>
          <w:szCs w:val="22"/>
        </w:rPr>
        <w:t>zboží ve stanovené lhůtě</w:t>
      </w:r>
      <w:r w:rsidR="00351F6A">
        <w:rPr>
          <w:rFonts w:ascii="Tahoma" w:hAnsi="Tahoma" w:cs="Tahoma"/>
          <w:sz w:val="20"/>
          <w:szCs w:val="22"/>
        </w:rPr>
        <w:t xml:space="preserve"> (nejpozději </w:t>
      </w:r>
      <w:r w:rsidR="00351F6A" w:rsidRPr="00867B35">
        <w:rPr>
          <w:rFonts w:ascii="Tahoma" w:hAnsi="Tahoma" w:cs="Tahoma"/>
          <w:sz w:val="20"/>
          <w:szCs w:val="22"/>
        </w:rPr>
        <w:t xml:space="preserve">do </w:t>
      </w:r>
      <w:r w:rsidR="00867B35">
        <w:rPr>
          <w:rFonts w:ascii="Tahoma" w:hAnsi="Tahoma" w:cs="Tahoma"/>
          <w:sz w:val="20"/>
          <w:szCs w:val="22"/>
        </w:rPr>
        <w:t>3</w:t>
      </w:r>
      <w:r w:rsidR="00351F6A" w:rsidRPr="00867B35">
        <w:rPr>
          <w:rFonts w:ascii="Tahoma" w:hAnsi="Tahoma" w:cs="Tahoma"/>
          <w:sz w:val="20"/>
          <w:szCs w:val="22"/>
        </w:rPr>
        <w:t xml:space="preserve"> pracovních</w:t>
      </w:r>
      <w:r w:rsidR="00867B35">
        <w:rPr>
          <w:rFonts w:ascii="Tahoma" w:hAnsi="Tahoma" w:cs="Tahoma"/>
          <w:sz w:val="20"/>
          <w:szCs w:val="22"/>
        </w:rPr>
        <w:t xml:space="preserve"> dnů </w:t>
      </w:r>
      <w:r w:rsidR="00351F6A" w:rsidRPr="00867B35">
        <w:rPr>
          <w:rFonts w:ascii="Tahoma" w:hAnsi="Tahoma" w:cs="Tahoma"/>
          <w:sz w:val="20"/>
          <w:szCs w:val="22"/>
        </w:rPr>
        <w:t>od obdržení objednávky), je povinen zaplatit kupujícímu smlu</w:t>
      </w:r>
      <w:r w:rsidR="00351F6A" w:rsidRPr="00BC4687">
        <w:rPr>
          <w:rFonts w:ascii="Tahoma" w:hAnsi="Tahoma" w:cs="Tahoma"/>
          <w:sz w:val="20"/>
          <w:szCs w:val="22"/>
        </w:rPr>
        <w:t xml:space="preserve">vní pokutu ve výši </w:t>
      </w:r>
      <w:r w:rsidR="00351F6A" w:rsidRPr="000C0EDF">
        <w:rPr>
          <w:rFonts w:ascii="Tahoma" w:hAnsi="Tahoma" w:cs="Tahoma"/>
          <w:b/>
          <w:strike/>
          <w:sz w:val="20"/>
          <w:szCs w:val="22"/>
          <w:highlight w:val="green"/>
        </w:rPr>
        <w:t>0,2</w:t>
      </w:r>
      <w:r w:rsidR="00351F6A" w:rsidRPr="000C0EDF">
        <w:rPr>
          <w:rFonts w:ascii="Tahoma" w:hAnsi="Tahoma" w:cs="Tahoma"/>
          <w:b/>
          <w:sz w:val="20"/>
          <w:szCs w:val="22"/>
          <w:highlight w:val="green"/>
        </w:rPr>
        <w:t xml:space="preserve"> </w:t>
      </w:r>
      <w:r w:rsidR="00D00741" w:rsidRPr="000C0EDF">
        <w:rPr>
          <w:rFonts w:ascii="Tahoma" w:hAnsi="Tahoma" w:cs="Tahoma"/>
          <w:b/>
          <w:iCs/>
          <w:sz w:val="20"/>
          <w:szCs w:val="22"/>
          <w:highlight w:val="green"/>
        </w:rPr>
        <w:t>0,05</w:t>
      </w:r>
      <w:r w:rsidR="00D00741">
        <w:rPr>
          <w:rFonts w:ascii="Tahoma" w:hAnsi="Tahoma" w:cs="Tahoma"/>
          <w:b/>
          <w:iCs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b/>
          <w:iCs/>
          <w:sz w:val="20"/>
          <w:szCs w:val="22"/>
        </w:rPr>
        <w:t>%</w:t>
      </w:r>
      <w:r w:rsidR="00351F6A"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="00351F6A"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 w:rsidR="00351F6A">
        <w:rPr>
          <w:rFonts w:ascii="Tahoma" w:hAnsi="Tahoma" w:cs="Tahoma"/>
          <w:iCs/>
          <w:sz w:val="20"/>
          <w:szCs w:val="22"/>
        </w:rPr>
        <w:t>nedodaného zboží</w:t>
      </w:r>
      <w:r w:rsidR="00351F6A"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:rsidR="00EE61B5" w:rsidRDefault="00EE61B5" w:rsidP="00351F6A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 xml:space="preserve">V případě prodlení kupujícího s úhradou kupní ceny je prodávající oprávněn požadovat na kupujícím úrok z prodlení </w:t>
      </w:r>
      <w:r w:rsidR="00574C4E" w:rsidRPr="00351F6A">
        <w:rPr>
          <w:rFonts w:ascii="Tahoma" w:hAnsi="Tahoma" w:cs="Tahoma"/>
          <w:sz w:val="20"/>
          <w:szCs w:val="20"/>
        </w:rPr>
        <w:t>v zákonem stanovené výši</w:t>
      </w:r>
      <w:r w:rsidR="00574C4E"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74C4E" w:rsidRPr="00351F6A">
        <w:rPr>
          <w:rFonts w:ascii="Tahoma" w:hAnsi="Tahoma" w:cs="Tahoma"/>
          <w:sz w:val="20"/>
          <w:szCs w:val="20"/>
        </w:rPr>
        <w:t>z</w:t>
      </w:r>
      <w:r w:rsidR="00E037C5" w:rsidRPr="00351F6A">
        <w:rPr>
          <w:rFonts w:ascii="Tahoma" w:hAnsi="Tahoma" w:cs="Tahoma"/>
          <w:sz w:val="20"/>
          <w:szCs w:val="20"/>
        </w:rPr>
        <w:t> </w:t>
      </w:r>
      <w:r w:rsidR="00574C4E" w:rsidRPr="00351F6A">
        <w:rPr>
          <w:rFonts w:ascii="Tahoma" w:hAnsi="Tahoma" w:cs="Tahoma"/>
          <w:sz w:val="20"/>
          <w:szCs w:val="20"/>
        </w:rPr>
        <w:t>dl</w:t>
      </w:r>
      <w:r w:rsidRPr="00351F6A">
        <w:rPr>
          <w:rFonts w:ascii="Tahoma" w:hAnsi="Tahoma" w:cs="Tahoma"/>
          <w:sz w:val="20"/>
          <w:szCs w:val="20"/>
        </w:rPr>
        <w:t>užné</w:t>
      </w:r>
      <w:r w:rsidR="00E037C5" w:rsidRPr="00351F6A">
        <w:rPr>
          <w:rFonts w:ascii="Tahoma" w:hAnsi="Tahoma" w:cs="Tahoma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částky</w:t>
      </w:r>
      <w:r w:rsidR="00E037C5" w:rsidRPr="00351F6A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až do úplného zaplacení dlužné částky.</w:t>
      </w:r>
    </w:p>
    <w:p w:rsidR="003F1AB1" w:rsidRPr="00A63A39" w:rsidRDefault="003F1AB1" w:rsidP="003F1AB1">
      <w:pPr>
        <w:pStyle w:val="Odstavecseseznamem"/>
        <w:numPr>
          <w:ilvl w:val="0"/>
          <w:numId w:val="3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ze strany kupujícího z důvodu jeho pochybností o splnění všech kvalitativních požadavků dodaného zboží, se prodávající zavazuje dodat kupujícímu nové, bezvadné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</w:t>
      </w:r>
      <w:r w:rsidRPr="000C0EDF">
        <w:rPr>
          <w:rFonts w:ascii="Tahoma" w:hAnsi="Tahoma" w:cs="Tahoma"/>
          <w:strike/>
          <w:sz w:val="20"/>
          <w:szCs w:val="20"/>
          <w:highlight w:val="green"/>
        </w:rPr>
        <w:t>0,5</w:t>
      </w:r>
      <w:r w:rsidRPr="000C0EDF">
        <w:rPr>
          <w:rFonts w:ascii="Tahoma" w:hAnsi="Tahoma" w:cs="Tahoma"/>
          <w:sz w:val="20"/>
          <w:szCs w:val="20"/>
          <w:highlight w:val="green"/>
        </w:rPr>
        <w:t xml:space="preserve"> </w:t>
      </w:r>
      <w:r w:rsidR="000C0EDF" w:rsidRPr="000C0EDF">
        <w:rPr>
          <w:rFonts w:ascii="Tahoma" w:hAnsi="Tahoma" w:cs="Tahoma"/>
          <w:sz w:val="20"/>
          <w:szCs w:val="20"/>
          <w:highlight w:val="green"/>
        </w:rPr>
        <w:t>0,05</w:t>
      </w:r>
      <w:r w:rsidR="000C0EDF">
        <w:rPr>
          <w:rFonts w:ascii="Tahoma" w:hAnsi="Tahoma" w:cs="Tahoma"/>
          <w:sz w:val="20"/>
          <w:szCs w:val="20"/>
        </w:rPr>
        <w:t xml:space="preserve"> </w:t>
      </w:r>
      <w:r w:rsidRPr="00A63A39">
        <w:rPr>
          <w:rFonts w:ascii="Tahoma" w:hAnsi="Tahoma" w:cs="Tahoma"/>
          <w:sz w:val="20"/>
          <w:szCs w:val="20"/>
        </w:rPr>
        <w:t>% ze sjednané kupní ceny nedodaného předmětu plnění za každý den prodlení. V případě, že se reklamace ukáže jako neoprávněná, budou strany jednat o kompenzaci případných vícenákladů v mezidobí vynaložených prodávajícím.</w:t>
      </w:r>
    </w:p>
    <w:p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 w:rsidR="00C01754"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:rsidR="00351F6A" w:rsidRPr="00351F6A" w:rsidRDefault="00351F6A" w:rsidP="00351F6A">
      <w:pPr>
        <w:pStyle w:val="Import16"/>
        <w:numPr>
          <w:ilvl w:val="0"/>
          <w:numId w:val="35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</w:t>
      </w:r>
      <w:r w:rsidRPr="004F38B1">
        <w:rPr>
          <w:rFonts w:ascii="Tahoma" w:hAnsi="Tahoma" w:cs="Tahoma"/>
          <w:sz w:val="20"/>
        </w:rPr>
        <w:lastRenderedPageBreak/>
        <w:t>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:rsidR="00B035C3" w:rsidRPr="004F38B1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:rsidR="00B035C3" w:rsidRPr="00753166" w:rsidRDefault="00B035C3" w:rsidP="00CD3E67">
      <w:pPr>
        <w:pStyle w:val="Smlouva-slo"/>
        <w:numPr>
          <w:ilvl w:val="0"/>
          <w:numId w:val="22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porušení.</w:t>
      </w:r>
    </w:p>
    <w:p w:rsidR="00B035C3" w:rsidRDefault="00B035C3" w:rsidP="00B035C3">
      <w:pPr>
        <w:pStyle w:val="Smlouva-slo"/>
        <w:spacing w:line="276" w:lineRule="auto"/>
        <w:ind w:left="357"/>
        <w:rPr>
          <w:rFonts w:ascii="Tahoma" w:eastAsia="Tahoma" w:hAnsi="Tahoma" w:cs="Tahoma"/>
          <w:sz w:val="20"/>
        </w:rPr>
      </w:pPr>
    </w:p>
    <w:p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:rsidR="00B035C3" w:rsidRPr="00145B94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B035C3" w:rsidRPr="00145B94" w:rsidRDefault="00B035C3" w:rsidP="00B035C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:rsidR="00B035C3" w:rsidRDefault="00B035C3" w:rsidP="00B035C3">
      <w:pPr>
        <w:pStyle w:val="Odstavecseseznamem"/>
        <w:numPr>
          <w:ilvl w:val="0"/>
          <w:numId w:val="23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EE61B5" w:rsidRPr="002E01D8" w:rsidRDefault="00EE61B5" w:rsidP="00664458">
      <w:pPr>
        <w:pStyle w:val="Odstavecseseznamem"/>
        <w:numPr>
          <w:ilvl w:val="0"/>
          <w:numId w:val="40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:rsidR="006E136D" w:rsidRPr="002E01D8" w:rsidRDefault="006E136D" w:rsidP="006E136D">
      <w:pPr>
        <w:pStyle w:val="Import3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:rsidR="006E136D" w:rsidRPr="002E01D8" w:rsidRDefault="006E136D" w:rsidP="006E136D">
      <w:pPr>
        <w:pStyle w:val="Import5"/>
        <w:numPr>
          <w:ilvl w:val="0"/>
          <w:numId w:val="41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Pr="002E01D8">
        <w:rPr>
          <w:rFonts w:ascii="Tahoma" w:eastAsia="Calibri" w:hAnsi="Tahoma" w:cs="Tahoma"/>
          <w:sz w:val="20"/>
          <w:szCs w:val="20"/>
        </w:rPr>
        <w:t xml:space="preserve"> 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:rsidR="006E136D" w:rsidRPr="002E01D8" w:rsidRDefault="006E136D" w:rsidP="006E136D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>
        <w:rPr>
          <w:rFonts w:ascii="Tahoma" w:eastAsia="Calibri" w:hAnsi="Tahoma" w:cs="Tahoma"/>
          <w:sz w:val="20"/>
          <w:szCs w:val="20"/>
        </w:rPr>
        <w:t xml:space="preserve">splňujícího veškeré kvalitativní požadavky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:rsidR="006E136D" w:rsidRPr="00A63A39" w:rsidRDefault="006E136D" w:rsidP="006E136D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:rsidR="006E136D" w:rsidRPr="00A63A39" w:rsidRDefault="006E136D" w:rsidP="006E136D">
      <w:pPr>
        <w:pStyle w:val="Import5"/>
        <w:numPr>
          <w:ilvl w:val="0"/>
          <w:numId w:val="42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A63A39">
        <w:rPr>
          <w:rFonts w:ascii="Tahoma" w:eastAsia="Calibri" w:hAnsi="Tahoma" w:cs="Tahoma"/>
          <w:sz w:val="20"/>
          <w:szCs w:val="20"/>
        </w:rPr>
        <w:t>pokud objem vadného/nedodaného plnění bude odpovídat alespoň 5 % celkového objemu dodávky, který je touto smlouvou předpokládán,</w:t>
      </w:r>
    </w:p>
    <w:p w:rsidR="006E136D" w:rsidRPr="002E01D8" w:rsidRDefault="006E136D" w:rsidP="006E136D">
      <w:pPr>
        <w:pStyle w:val="Import3"/>
        <w:numPr>
          <w:ilvl w:val="0"/>
          <w:numId w:val="42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lastRenderedPageBreak/>
        <w:t xml:space="preserve">nedodržení smluvních ujednání o záruce za jakost. </w:t>
      </w:r>
    </w:p>
    <w:p w:rsidR="00664458" w:rsidRPr="00664458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:rsidR="00664458" w:rsidRPr="009E1C32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:rsidR="00664458" w:rsidRDefault="00664458" w:rsidP="009E1C32">
      <w:pPr>
        <w:pStyle w:val="Odstavecseseznamem"/>
        <w:numPr>
          <w:ilvl w:val="0"/>
          <w:numId w:val="43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:rsidR="006E136D" w:rsidRPr="009E1C32" w:rsidRDefault="006E136D" w:rsidP="006E136D">
      <w:pPr>
        <w:pStyle w:val="Odstavecseseznamem"/>
        <w:spacing w:before="60" w:line="276" w:lineRule="auto"/>
        <w:ind w:left="1004"/>
        <w:jc w:val="both"/>
        <w:rPr>
          <w:rFonts w:ascii="Tahoma" w:hAnsi="Tahoma" w:cs="Tahoma"/>
          <w:color w:val="000000"/>
          <w:sz w:val="20"/>
          <w:szCs w:val="20"/>
        </w:rPr>
      </w:pPr>
    </w:p>
    <w:p w:rsidR="00664458" w:rsidRPr="006E136D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:rsidR="006E136D" w:rsidRPr="00664458" w:rsidRDefault="006E136D" w:rsidP="006E136D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64458" w:rsidRPr="009E1C32" w:rsidRDefault="00664458" w:rsidP="00664458">
      <w:pPr>
        <w:pStyle w:val="Odstavecseseznamem"/>
        <w:widowControl/>
        <w:numPr>
          <w:ilvl w:val="0"/>
          <w:numId w:val="40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Pro účely této smlouvy se pod pojmem „bez zbytečného odkladu“ dle § 2002 občanského zákoníku rozumí „nejpozději do 3 týdnů“.</w:t>
      </w:r>
    </w:p>
    <w:p w:rsidR="009E1C32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:rsidR="006E136D" w:rsidRPr="00664458" w:rsidRDefault="006E136D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6B7646" w:rsidRPr="003D07FB" w:rsidRDefault="006B7646" w:rsidP="00CD3E67">
      <w:pPr>
        <w:widowControl/>
        <w:numPr>
          <w:ilvl w:val="0"/>
          <w:numId w:val="24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3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:rsidR="006B7646" w:rsidRPr="00633675" w:rsidRDefault="006B7646" w:rsidP="00CD3E67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:rsidR="006B7646" w:rsidRPr="000241C5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4" w:name="_Hlk82415956"/>
      <w:bookmarkEnd w:id="3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:rsidR="006B7646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:rsidR="006B7646" w:rsidRPr="00205454" w:rsidRDefault="006B7646" w:rsidP="00030EBB">
      <w:pPr>
        <w:widowControl/>
        <w:numPr>
          <w:ilvl w:val="0"/>
          <w:numId w:val="24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4"/>
    <w:p w:rsidR="006B7646" w:rsidRPr="004979E1" w:rsidRDefault="006B7646" w:rsidP="00030EBB">
      <w:pPr>
        <w:widowControl/>
        <w:numPr>
          <w:ilvl w:val="0"/>
          <w:numId w:val="2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lastRenderedPageBreak/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:rsidR="00D43E8E" w:rsidRDefault="00D43E8E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:rsidTr="00763000">
        <w:tc>
          <w:tcPr>
            <w:tcW w:w="4581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 ………</w:t>
            </w:r>
          </w:p>
        </w:tc>
      </w:tr>
      <w:tr w:rsidR="00D43E8E" w:rsidRPr="00633675" w:rsidTr="00763000">
        <w:tc>
          <w:tcPr>
            <w:tcW w:w="4581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D43E8E" w:rsidRPr="00633675" w:rsidRDefault="00D43E8E" w:rsidP="00D43E8E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headerReference w:type="first" r:id="rId15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633675">
        <w:rPr>
          <w:rFonts w:ascii="Tahoma" w:hAnsi="Tahoma" w:cs="Tahoma"/>
          <w:sz w:val="20"/>
          <w:szCs w:val="20"/>
        </w:rPr>
        <w:tab/>
      </w:r>
    </w:p>
    <w:p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68F" w:rsidRDefault="00EF368F" w:rsidP="00CA4C3A">
      <w:r>
        <w:separator/>
      </w:r>
    </w:p>
  </w:endnote>
  <w:endnote w:type="continuationSeparator" w:id="0">
    <w:p w:rsidR="00EF368F" w:rsidRDefault="00EF368F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:rsidR="00BD67D0" w:rsidRDefault="00EF368F" w:rsidP="00BD67D0">
            <w:pPr>
              <w:pStyle w:val="Zpa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:rsidR="00BD67D0" w:rsidRPr="007133E4" w:rsidRDefault="00BD67D0" w:rsidP="00BD67D0">
            <w:pPr>
              <w:pStyle w:val="Zpa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tab/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OPA/Hal/202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2F3972">
              <w:rPr>
                <w:rFonts w:ascii="Tahoma" w:hAnsi="Tahoma" w:cs="Tahoma"/>
                <w:sz w:val="20"/>
                <w:szCs w:val="20"/>
              </w:rPr>
              <w:t>25</w:t>
            </w:r>
            <w:r w:rsidR="007133E4"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2F3972">
              <w:rPr>
                <w:rFonts w:ascii="Tahoma" w:hAnsi="Tahoma" w:cs="Tahoma"/>
                <w:sz w:val="20"/>
                <w:szCs w:val="20"/>
              </w:rPr>
              <w:t>infuzní sety</w:t>
            </w:r>
          </w:p>
          <w:p w:rsidR="00BD67D0" w:rsidRDefault="00EF368F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68F" w:rsidRDefault="00EF368F" w:rsidP="00CA4C3A">
      <w:r>
        <w:separator/>
      </w:r>
    </w:p>
  </w:footnote>
  <w:footnote w:type="continuationSeparator" w:id="0">
    <w:p w:rsidR="00EF368F" w:rsidRDefault="00EF368F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>Příloha č. 6</w:t>
    </w:r>
  </w:p>
  <w:p w:rsidR="003E124A" w:rsidRDefault="003E12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F35" w:rsidRPr="008E52BF" w:rsidRDefault="008E52BF" w:rsidP="008E52BF">
    <w:pPr>
      <w:pStyle w:val="Zhlav"/>
    </w:pPr>
    <w: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74984C84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DDF4412"/>
    <w:multiLevelType w:val="hybridMultilevel"/>
    <w:tmpl w:val="45B00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67BD7"/>
    <w:multiLevelType w:val="hybridMultilevel"/>
    <w:tmpl w:val="6E72A10A"/>
    <w:lvl w:ilvl="0" w:tplc="0846AE48">
      <w:start w:val="1"/>
      <w:numFmt w:val="upperRoman"/>
      <w:lvlText w:val="%1."/>
      <w:lvlJc w:val="center"/>
      <w:pPr>
        <w:ind w:left="100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6F6091F"/>
    <w:multiLevelType w:val="multilevel"/>
    <w:tmpl w:val="2DE29AC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1B84CDE"/>
    <w:multiLevelType w:val="hybridMultilevel"/>
    <w:tmpl w:val="1382B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694C92"/>
    <w:multiLevelType w:val="hybridMultilevel"/>
    <w:tmpl w:val="DB840852"/>
    <w:lvl w:ilvl="0" w:tplc="5B94D78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37F4808"/>
    <w:multiLevelType w:val="hybridMultilevel"/>
    <w:tmpl w:val="FCCE2FEC"/>
    <w:lvl w:ilvl="0" w:tplc="C8F0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02796"/>
    <w:multiLevelType w:val="hybridMultilevel"/>
    <w:tmpl w:val="C8C0EF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62052"/>
    <w:multiLevelType w:val="hybridMultilevel"/>
    <w:tmpl w:val="8D5C69A8"/>
    <w:lvl w:ilvl="0" w:tplc="F162BC6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BD415C"/>
    <w:multiLevelType w:val="hybridMultilevel"/>
    <w:tmpl w:val="4F9EC5C8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B406D"/>
    <w:multiLevelType w:val="multilevel"/>
    <w:tmpl w:val="9E14EF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C4B19AC"/>
    <w:multiLevelType w:val="hybridMultilevel"/>
    <w:tmpl w:val="FDDEE3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1D0715"/>
    <w:multiLevelType w:val="hybridMultilevel"/>
    <w:tmpl w:val="A8E28A7C"/>
    <w:lvl w:ilvl="0" w:tplc="0846AE48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87BCD"/>
    <w:multiLevelType w:val="hybridMultilevel"/>
    <w:tmpl w:val="6E808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1343B"/>
    <w:multiLevelType w:val="multilevel"/>
    <w:tmpl w:val="E8861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cs="Times New Roman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17451A"/>
    <w:multiLevelType w:val="multilevel"/>
    <w:tmpl w:val="790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F50B8"/>
    <w:multiLevelType w:val="multilevel"/>
    <w:tmpl w:val="CB6E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15"/>
  </w:num>
  <w:num w:numId="13">
    <w:abstractNumId w:val="20"/>
  </w:num>
  <w:num w:numId="14">
    <w:abstractNumId w:val="17"/>
  </w:num>
  <w:num w:numId="15">
    <w:abstractNumId w:val="32"/>
  </w:num>
  <w:num w:numId="16">
    <w:abstractNumId w:val="0"/>
  </w:num>
  <w:num w:numId="17">
    <w:abstractNumId w:val="18"/>
  </w:num>
  <w:num w:numId="18">
    <w:abstractNumId w:val="44"/>
  </w:num>
  <w:num w:numId="19">
    <w:abstractNumId w:val="43"/>
  </w:num>
  <w:num w:numId="20">
    <w:abstractNumId w:val="19"/>
  </w:num>
  <w:num w:numId="21">
    <w:abstractNumId w:val="11"/>
  </w:num>
  <w:num w:numId="22">
    <w:abstractNumId w:val="29"/>
  </w:num>
  <w:num w:numId="23">
    <w:abstractNumId w:val="27"/>
  </w:num>
  <w:num w:numId="24">
    <w:abstractNumId w:val="39"/>
  </w:num>
  <w:num w:numId="25">
    <w:abstractNumId w:val="40"/>
  </w:num>
  <w:num w:numId="26">
    <w:abstractNumId w:val="31"/>
  </w:num>
  <w:num w:numId="27">
    <w:abstractNumId w:val="23"/>
  </w:num>
  <w:num w:numId="28">
    <w:abstractNumId w:val="0"/>
  </w:num>
  <w:num w:numId="29">
    <w:abstractNumId w:val="24"/>
  </w:num>
  <w:num w:numId="30">
    <w:abstractNumId w:val="21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6"/>
  </w:num>
  <w:num w:numId="35">
    <w:abstractNumId w:val="12"/>
  </w:num>
  <w:num w:numId="36">
    <w:abstractNumId w:val="42"/>
  </w:num>
  <w:num w:numId="37">
    <w:abstractNumId w:val="14"/>
  </w:num>
  <w:num w:numId="38">
    <w:abstractNumId w:val="41"/>
  </w:num>
  <w:num w:numId="39">
    <w:abstractNumId w:val="30"/>
  </w:num>
  <w:num w:numId="40">
    <w:abstractNumId w:val="28"/>
  </w:num>
  <w:num w:numId="41">
    <w:abstractNumId w:val="16"/>
  </w:num>
  <w:num w:numId="42">
    <w:abstractNumId w:val="33"/>
  </w:num>
  <w:num w:numId="43">
    <w:abstractNumId w:val="34"/>
  </w:num>
  <w:num w:numId="44">
    <w:abstractNumId w:val="25"/>
  </w:num>
  <w:num w:numId="45">
    <w:abstractNumId w:val="36"/>
  </w:num>
  <w:num w:numId="46">
    <w:abstractNumId w:val="38"/>
  </w:num>
  <w:num w:numId="47">
    <w:abstractNumId w:val="22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0EDF"/>
    <w:rsid w:val="000C184A"/>
    <w:rsid w:val="000C1EF1"/>
    <w:rsid w:val="000C36B9"/>
    <w:rsid w:val="000C6074"/>
    <w:rsid w:val="000D16A0"/>
    <w:rsid w:val="000D22CC"/>
    <w:rsid w:val="000D49B5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57309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3CE5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2A21"/>
    <w:rsid w:val="002B3DD6"/>
    <w:rsid w:val="002B6906"/>
    <w:rsid w:val="002C02A5"/>
    <w:rsid w:val="002C4619"/>
    <w:rsid w:val="002C56FA"/>
    <w:rsid w:val="002C6F9E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40C"/>
    <w:rsid w:val="002E772C"/>
    <w:rsid w:val="002F3972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1AB1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D44A7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15E1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E6B5B"/>
    <w:rsid w:val="005E7B25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388A"/>
    <w:rsid w:val="00634F5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136D"/>
    <w:rsid w:val="006E265C"/>
    <w:rsid w:val="006F072A"/>
    <w:rsid w:val="006F16FB"/>
    <w:rsid w:val="006F46BC"/>
    <w:rsid w:val="006F596B"/>
    <w:rsid w:val="006F7DB2"/>
    <w:rsid w:val="00702305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2D1D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A83"/>
    <w:rsid w:val="008268B6"/>
    <w:rsid w:val="00835737"/>
    <w:rsid w:val="0083776D"/>
    <w:rsid w:val="00841B75"/>
    <w:rsid w:val="0084491F"/>
    <w:rsid w:val="00846C90"/>
    <w:rsid w:val="00850DFC"/>
    <w:rsid w:val="008516FD"/>
    <w:rsid w:val="008554FA"/>
    <w:rsid w:val="00855CDA"/>
    <w:rsid w:val="00857002"/>
    <w:rsid w:val="00861C95"/>
    <w:rsid w:val="00864E5C"/>
    <w:rsid w:val="00865FDA"/>
    <w:rsid w:val="008666E0"/>
    <w:rsid w:val="00867B35"/>
    <w:rsid w:val="0087074D"/>
    <w:rsid w:val="0087078B"/>
    <w:rsid w:val="00872DC8"/>
    <w:rsid w:val="00874BE6"/>
    <w:rsid w:val="00875ED4"/>
    <w:rsid w:val="0088152F"/>
    <w:rsid w:val="0088404D"/>
    <w:rsid w:val="008847A3"/>
    <w:rsid w:val="008864BD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A5CFF"/>
    <w:rsid w:val="008B3248"/>
    <w:rsid w:val="008B3B29"/>
    <w:rsid w:val="008B43C3"/>
    <w:rsid w:val="008B588D"/>
    <w:rsid w:val="008B6FDF"/>
    <w:rsid w:val="008C5935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A007BA"/>
    <w:rsid w:val="00A0116E"/>
    <w:rsid w:val="00A049DC"/>
    <w:rsid w:val="00A077D6"/>
    <w:rsid w:val="00A117D0"/>
    <w:rsid w:val="00A12D8F"/>
    <w:rsid w:val="00A13252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C7F50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0A9D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77C1D"/>
    <w:rsid w:val="00C81D96"/>
    <w:rsid w:val="00C82151"/>
    <w:rsid w:val="00C8271A"/>
    <w:rsid w:val="00C82883"/>
    <w:rsid w:val="00C83A81"/>
    <w:rsid w:val="00C90BE9"/>
    <w:rsid w:val="00C9585F"/>
    <w:rsid w:val="00C9694C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0741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0CF6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455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368F"/>
    <w:rsid w:val="00EF4234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691E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31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7AC0BC-E621-4CF4-B597-3693B377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2392</Words>
  <Characters>14116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2025-06-20T06:10:00Z</cp:lastPrinted>
  <dcterms:created xsi:type="dcterms:W3CDTF">2025-08-20T08:24:00Z</dcterms:created>
  <dcterms:modified xsi:type="dcterms:W3CDTF">2025-08-20T10:13:00Z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