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C1" w:rsidRDefault="00E330AE">
      <w:pPr>
        <w:jc w:val="center"/>
      </w:pPr>
      <w:r>
        <w:rPr>
          <w:rFonts w:ascii="Arial" w:eastAsia="Times New Roman" w:hAnsi="Arial" w:cs="Arial"/>
          <w:b/>
          <w:bCs/>
          <w:sz w:val="28"/>
          <w:szCs w:val="28"/>
          <w:lang w:eastAsia="cs-CZ"/>
        </w:rPr>
        <w:t xml:space="preserve">Tabulka splnění technických podmínek </w:t>
      </w:r>
      <w:r>
        <w:rPr>
          <w:rFonts w:ascii="Arial" w:eastAsia="Times New Roman" w:hAnsi="Arial" w:cs="Arial"/>
          <w:b/>
          <w:bCs/>
          <w:sz w:val="28"/>
          <w:szCs w:val="28"/>
          <w:lang w:eastAsia="cs-CZ"/>
        </w:rPr>
        <w:br/>
        <w:t>„Výpůjčka automatického analyzátoru moči včetně dodávky reagencií“</w:t>
      </w:r>
    </w:p>
    <w:tbl>
      <w:tblPr>
        <w:tblW w:w="14264" w:type="dxa"/>
        <w:tblInd w:w="-5" w:type="dxa"/>
        <w:tblLayout w:type="fixed"/>
        <w:tblCellMar>
          <w:left w:w="70" w:type="dxa"/>
          <w:right w:w="70" w:type="dxa"/>
        </w:tblCellMar>
        <w:tblLook w:val="04A0" w:firstRow="1" w:lastRow="0" w:firstColumn="1" w:lastColumn="0" w:noHBand="0" w:noVBand="1"/>
      </w:tblPr>
      <w:tblGrid>
        <w:gridCol w:w="7846"/>
        <w:gridCol w:w="1853"/>
        <w:gridCol w:w="4565"/>
      </w:tblGrid>
      <w:tr w:rsidR="00F927C1">
        <w:trPr>
          <w:trHeight w:val="766"/>
        </w:trPr>
        <w:tc>
          <w:tcPr>
            <w:tcW w:w="7846" w:type="dxa"/>
            <w:tcBorders>
              <w:top w:val="single" w:sz="4" w:space="0" w:color="000000"/>
              <w:left w:val="single" w:sz="4" w:space="0" w:color="000000"/>
              <w:bottom w:val="single" w:sz="4" w:space="0" w:color="000000"/>
              <w:right w:val="single" w:sz="4" w:space="0" w:color="000000"/>
            </w:tcBorders>
            <w:shd w:val="clear" w:color="9999FF" w:fill="8EB4E3"/>
            <w:vAlign w:val="center"/>
          </w:tcPr>
          <w:p w:rsidR="00F927C1" w:rsidRDefault="00E330A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Minimální technické podmínky</w:t>
            </w:r>
          </w:p>
        </w:tc>
        <w:tc>
          <w:tcPr>
            <w:tcW w:w="1853" w:type="dxa"/>
            <w:tcBorders>
              <w:top w:val="single" w:sz="4" w:space="0" w:color="000000"/>
              <w:bottom w:val="single" w:sz="4" w:space="0" w:color="000000"/>
              <w:right w:val="single" w:sz="4" w:space="0" w:color="000000"/>
            </w:tcBorders>
            <w:shd w:val="clear" w:color="D9D9D9" w:fill="C3D69B"/>
            <w:vAlign w:val="center"/>
          </w:tcPr>
          <w:p w:rsidR="00F927C1" w:rsidRDefault="00E330AE">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Účastník doplní ANO/NE</w:t>
            </w:r>
          </w:p>
        </w:tc>
        <w:tc>
          <w:tcPr>
            <w:tcW w:w="4565" w:type="dxa"/>
            <w:tcBorders>
              <w:top w:val="single" w:sz="4" w:space="0" w:color="000000"/>
              <w:bottom w:val="single" w:sz="4" w:space="0" w:color="000000"/>
              <w:right w:val="single" w:sz="4" w:space="0" w:color="000000"/>
            </w:tcBorders>
            <w:shd w:val="clear" w:color="9999FF" w:fill="8EB4E3"/>
            <w:vAlign w:val="center"/>
          </w:tcPr>
          <w:p w:rsidR="00F927C1" w:rsidRDefault="00E330A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Poznámka / alternativní řešení</w:t>
            </w:r>
          </w:p>
        </w:tc>
      </w:tr>
      <w:tr w:rsidR="00F927C1">
        <w:trPr>
          <w:trHeight w:val="300"/>
        </w:trPr>
        <w:tc>
          <w:tcPr>
            <w:tcW w:w="7846" w:type="dxa"/>
            <w:tcBorders>
              <w:left w:val="single" w:sz="4" w:space="0" w:color="000000"/>
              <w:bottom w:val="single" w:sz="4" w:space="0" w:color="000000"/>
              <w:right w:val="single" w:sz="4" w:space="0" w:color="000000"/>
            </w:tcBorders>
            <w:shd w:val="clear" w:color="FFF2CC" w:fill="FFFFFF"/>
            <w:vAlign w:val="center"/>
          </w:tcPr>
          <w:p w:rsidR="00F927C1" w:rsidRDefault="00E330AE">
            <w:pPr>
              <w:spacing w:after="0" w:line="240" w:lineRule="auto"/>
              <w:rPr>
                <w:rFonts w:ascii="Arial" w:eastAsia="Times New Roman" w:hAnsi="Arial" w:cs="Arial"/>
                <w:b/>
                <w:i/>
                <w:iCs/>
                <w:color w:val="000000"/>
                <w:sz w:val="20"/>
                <w:szCs w:val="20"/>
                <w:lang w:eastAsia="cs-CZ"/>
              </w:rPr>
            </w:pPr>
            <w:r>
              <w:rPr>
                <w:rFonts w:ascii="Arial" w:eastAsia="Times New Roman" w:hAnsi="Arial" w:cs="Arial"/>
                <w:b/>
                <w:i/>
                <w:iCs/>
                <w:color w:val="000000"/>
                <w:sz w:val="20"/>
                <w:szCs w:val="20"/>
                <w:lang w:eastAsia="cs-CZ"/>
              </w:rPr>
              <w:t>Dodavatel do nabídky uvede přesné obchodní označení, model/y výrobce pro navrhované řešení)</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300"/>
        </w:trPr>
        <w:tc>
          <w:tcPr>
            <w:tcW w:w="7846" w:type="dxa"/>
            <w:tcBorders>
              <w:left w:val="single" w:sz="4" w:space="0" w:color="000000"/>
              <w:bottom w:val="single" w:sz="4" w:space="0" w:color="000000"/>
              <w:right w:val="single" w:sz="4" w:space="0" w:color="000000"/>
            </w:tcBorders>
            <w:shd w:val="clear" w:color="auto" w:fill="BDD6EE" w:themeFill="accent1" w:themeFillTint="66"/>
            <w:vAlign w:val="center"/>
          </w:tcPr>
          <w:p w:rsidR="00F927C1" w:rsidRDefault="00E330AE">
            <w:pPr>
              <w:spacing w:after="0" w:line="240" w:lineRule="auto"/>
              <w:rPr>
                <w:rFonts w:ascii="Arial" w:eastAsia="Times New Roman" w:hAnsi="Arial" w:cs="Arial"/>
                <w:b/>
                <w:i/>
                <w:iCs/>
                <w:color w:val="000000"/>
                <w:sz w:val="20"/>
                <w:szCs w:val="20"/>
                <w:lang w:eastAsia="cs-CZ"/>
              </w:rPr>
            </w:pPr>
            <w:r>
              <w:rPr>
                <w:rFonts w:ascii="Arial" w:eastAsia="Times New Roman" w:hAnsi="Arial" w:cs="Arial"/>
                <w:b/>
                <w:i/>
                <w:iCs/>
                <w:color w:val="000000"/>
                <w:sz w:val="20"/>
                <w:szCs w:val="20"/>
                <w:lang w:eastAsia="cs-CZ"/>
              </w:rPr>
              <w:t>Obecná specifikace</w:t>
            </w:r>
          </w:p>
        </w:tc>
        <w:tc>
          <w:tcPr>
            <w:tcW w:w="1853"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39"/>
        </w:trPr>
        <w:tc>
          <w:tcPr>
            <w:tcW w:w="7846" w:type="dxa"/>
            <w:tcBorders>
              <w:left w:val="single" w:sz="4" w:space="0" w:color="000000"/>
              <w:bottom w:val="single" w:sz="4" w:space="0" w:color="000000"/>
              <w:right w:val="single" w:sz="4" w:space="0" w:color="000000"/>
            </w:tcBorders>
            <w:shd w:val="clear" w:color="auto" w:fill="auto"/>
            <w:vAlign w:val="center"/>
          </w:tcPr>
          <w:p w:rsidR="00225365" w:rsidRPr="00ED7843" w:rsidRDefault="00E330AE" w:rsidP="00225365">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Plně automatizovaná linka pro analýzu nativní moči chemicky a morfologicky.</w:t>
            </w:r>
          </w:p>
          <w:p w:rsidR="00F927C1" w:rsidRPr="00ED7843" w:rsidRDefault="00E330AE" w:rsidP="00225365">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 xml:space="preserve">Záložní </w:t>
            </w:r>
            <w:r w:rsidR="00225365" w:rsidRPr="00ED7843">
              <w:rPr>
                <w:rFonts w:ascii="Calibri" w:eastAsia="Times New Roman" w:hAnsi="Calibri" w:cs="Calibri"/>
                <w:sz w:val="24"/>
                <w:szCs w:val="24"/>
                <w:lang w:eastAsia="cs-CZ"/>
              </w:rPr>
              <w:t>analyzátor</w:t>
            </w:r>
            <w:r w:rsidRPr="00ED7843">
              <w:rPr>
                <w:rFonts w:ascii="Calibri" w:eastAsia="Times New Roman" w:hAnsi="Calibri" w:cs="Calibri"/>
                <w:sz w:val="24"/>
                <w:szCs w:val="24"/>
                <w:lang w:eastAsia="cs-CZ"/>
              </w:rPr>
              <w:t xml:space="preserve"> </w:t>
            </w:r>
            <w:r w:rsidR="00225365" w:rsidRPr="00ED7843">
              <w:rPr>
                <w:rFonts w:ascii="Calibri" w:eastAsia="Times New Roman" w:hAnsi="Calibri" w:cs="Calibri"/>
                <w:sz w:val="24"/>
                <w:szCs w:val="24"/>
                <w:lang w:eastAsia="cs-CZ"/>
              </w:rPr>
              <w:t>pro chemické stanovení.</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rsidP="00225365">
            <w:pPr>
              <w:spacing w:after="0" w:line="240" w:lineRule="auto"/>
              <w:jc w:val="both"/>
              <w:rPr>
                <w:rFonts w:ascii="Arial" w:eastAsia="Times New Roman" w:hAnsi="Arial" w:cs="Arial"/>
                <w:color w:val="FF0000"/>
                <w:sz w:val="20"/>
                <w:szCs w:val="20"/>
                <w:lang w:eastAsia="cs-CZ"/>
              </w:rPr>
            </w:pPr>
            <w:r>
              <w:rPr>
                <w:rFonts w:ascii="Arial" w:eastAsia="Times New Roman" w:hAnsi="Arial" w:cs="Arial"/>
                <w:color w:val="FF0000"/>
                <w:sz w:val="20"/>
                <w:szCs w:val="20"/>
                <w:lang w:eastAsia="cs-CZ"/>
              </w:rPr>
              <w:t> </w:t>
            </w:r>
          </w:p>
        </w:tc>
      </w:tr>
      <w:tr w:rsidR="00F927C1">
        <w:trPr>
          <w:trHeight w:val="916"/>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Linka se skládá z modulů pro chemickou a morfologickou analýzu, které jsou propojeny transportním systémem umožňujícím automatický transport mezi moduly a kontinuální vkládání vzorků během chodu systému.</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jc w:val="both"/>
              <w:rPr>
                <w:rFonts w:ascii="Arial" w:eastAsia="Times New Roman" w:hAnsi="Arial" w:cs="Arial"/>
                <w:color w:val="FF0000"/>
                <w:sz w:val="20"/>
                <w:szCs w:val="20"/>
                <w:lang w:eastAsia="cs-CZ"/>
              </w:rPr>
            </w:pPr>
            <w:r>
              <w:rPr>
                <w:rFonts w:ascii="Arial" w:eastAsia="Times New Roman" w:hAnsi="Arial" w:cs="Arial"/>
                <w:color w:val="FF0000"/>
                <w:sz w:val="20"/>
                <w:szCs w:val="20"/>
                <w:lang w:eastAsia="cs-CZ"/>
              </w:rPr>
              <w:t> </w:t>
            </w:r>
          </w:p>
        </w:tc>
      </w:tr>
      <w:tr w:rsidR="00F927C1">
        <w:trPr>
          <w:trHeight w:val="556"/>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225365" w:rsidP="00225365">
            <w:pPr>
              <w:spacing w:after="0" w:line="240" w:lineRule="auto"/>
              <w:jc w:val="both"/>
              <w:rPr>
                <w:rFonts w:eastAsia="Times New Roman" w:cstheme="minorHAnsi"/>
                <w:sz w:val="24"/>
                <w:szCs w:val="24"/>
                <w:lang w:eastAsia="cs-CZ"/>
              </w:rPr>
            </w:pPr>
            <w:r w:rsidRPr="00ED7843">
              <w:rPr>
                <w:rFonts w:eastAsia="Times New Roman" w:cstheme="minorHAnsi"/>
                <w:sz w:val="24"/>
                <w:szCs w:val="24"/>
                <w:lang w:eastAsia="cs-CZ"/>
              </w:rPr>
              <w:t>Přístroj umí provedení samostatné chemické nebo m</w:t>
            </w:r>
            <w:bookmarkStart w:id="0" w:name="_GoBack"/>
            <w:bookmarkEnd w:id="0"/>
            <w:r w:rsidRPr="00ED7843">
              <w:rPr>
                <w:rFonts w:eastAsia="Times New Roman" w:cstheme="minorHAnsi"/>
                <w:sz w:val="24"/>
                <w:szCs w:val="24"/>
                <w:lang w:eastAsia="cs-CZ"/>
              </w:rPr>
              <w:t>orfologické analýzy.</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eastAsia="Times New Roman" w:cstheme="minorHAnsi"/>
                <w:sz w:val="20"/>
                <w:szCs w:val="20"/>
                <w:lang w:eastAsia="cs-CZ"/>
              </w:rPr>
            </w:pPr>
          </w:p>
        </w:tc>
      </w:tr>
      <w:tr w:rsidR="00F927C1">
        <w:trPr>
          <w:trHeight w:val="474"/>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Integrovaná čtečka čárových kódů.</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424"/>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sz w:val="24"/>
                <w:szCs w:val="24"/>
              </w:rPr>
            </w:pPr>
            <w:r w:rsidRPr="00ED7843">
              <w:rPr>
                <w:rFonts w:ascii="Calibri" w:hAnsi="Calibri" w:cs="Calibri"/>
                <w:sz w:val="24"/>
                <w:szCs w:val="24"/>
              </w:rPr>
              <w:t xml:space="preserve">Zpracování </w:t>
            </w:r>
            <w:proofErr w:type="spellStart"/>
            <w:r w:rsidRPr="00ED7843">
              <w:rPr>
                <w:rFonts w:ascii="Calibri" w:hAnsi="Calibri" w:cs="Calibri"/>
                <w:sz w:val="24"/>
                <w:szCs w:val="24"/>
              </w:rPr>
              <w:t>statimových</w:t>
            </w:r>
            <w:proofErr w:type="spellEnd"/>
            <w:r w:rsidRPr="00ED7843">
              <w:rPr>
                <w:rFonts w:ascii="Calibri" w:hAnsi="Calibri" w:cs="Calibri"/>
                <w:sz w:val="24"/>
                <w:szCs w:val="24"/>
              </w:rPr>
              <w:t xml:space="preserve"> vzorků.</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color w:val="FF0000"/>
                <w:sz w:val="20"/>
                <w:szCs w:val="20"/>
                <w:lang w:eastAsia="cs-CZ"/>
              </w:rPr>
            </w:pPr>
          </w:p>
        </w:tc>
      </w:tr>
      <w:tr w:rsidR="00F927C1">
        <w:trPr>
          <w:trHeight w:val="557"/>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2"/>
              <w:rPr>
                <w:rFonts w:ascii="Calibri" w:hAnsi="Calibri" w:cs="Calibri"/>
                <w:sz w:val="24"/>
                <w:szCs w:val="24"/>
              </w:rPr>
            </w:pPr>
            <w:r w:rsidRPr="00ED7843">
              <w:rPr>
                <w:rFonts w:ascii="Calibri" w:hAnsi="Calibri"/>
                <w:sz w:val="24"/>
                <w:szCs w:val="24"/>
              </w:rPr>
              <w:t xml:space="preserve">Požadovaný objem vzorku při stanovení chemie i morfologie zároveň </w:t>
            </w:r>
            <w:r w:rsidRPr="00ED7843">
              <w:rPr>
                <w:rFonts w:ascii="Calibri" w:eastAsia="Liberation Serif" w:hAnsi="Calibri" w:cs="Liberation Serif"/>
                <w:sz w:val="24"/>
                <w:szCs w:val="24"/>
              </w:rPr>
              <w:t>≤</w:t>
            </w:r>
            <w:r w:rsidRPr="00ED7843">
              <w:rPr>
                <w:rFonts w:ascii="Calibri" w:hAnsi="Calibri"/>
                <w:sz w:val="24"/>
                <w:szCs w:val="24"/>
              </w:rPr>
              <w:t xml:space="preserve"> </w:t>
            </w:r>
            <w:r w:rsidRPr="00D170F7">
              <w:rPr>
                <w:rFonts w:ascii="Calibri" w:hAnsi="Calibri"/>
                <w:color w:val="FF0000"/>
                <w:sz w:val="24"/>
                <w:szCs w:val="24"/>
              </w:rPr>
              <w:t>2</w:t>
            </w:r>
            <w:r w:rsidR="00D170F7" w:rsidRPr="00D170F7">
              <w:rPr>
                <w:rFonts w:ascii="Calibri" w:hAnsi="Calibri"/>
                <w:color w:val="FF0000"/>
                <w:sz w:val="24"/>
                <w:szCs w:val="24"/>
              </w:rPr>
              <w:t>,5</w:t>
            </w:r>
            <w:r w:rsidRPr="00D170F7">
              <w:rPr>
                <w:rFonts w:ascii="Calibri" w:hAnsi="Calibri"/>
                <w:color w:val="FF0000"/>
                <w:sz w:val="24"/>
                <w:szCs w:val="24"/>
              </w:rPr>
              <w:t>ml</w:t>
            </w:r>
            <w:r w:rsidRPr="00ED7843">
              <w:rPr>
                <w:rFonts w:ascii="Calibri" w:hAnsi="Calibri"/>
                <w:sz w:val="24"/>
                <w:szCs w:val="24"/>
              </w:rPr>
              <w:t>.</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51"/>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Minimální potřeba údržby a zásahu obsluhy.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59"/>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Bez nutnosti kalibrace uživatelem.</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2"/>
              <w:rPr>
                <w:rFonts w:ascii="Calibri" w:hAnsi="Calibri" w:cs="Calibri"/>
                <w:sz w:val="24"/>
                <w:szCs w:val="24"/>
              </w:rPr>
            </w:pPr>
            <w:r w:rsidRPr="00ED7843">
              <w:rPr>
                <w:rFonts w:ascii="Calibri" w:hAnsi="Calibri" w:cs="Calibri"/>
                <w:sz w:val="24"/>
                <w:szCs w:val="24"/>
              </w:rPr>
              <w:t>Aplikační podpora a dostupnost servisu i mimo pracovní dny do 24 hodin.</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Zkladntext"/>
              <w:tabs>
                <w:tab w:val="left" w:pos="0"/>
              </w:tabs>
              <w:spacing w:after="0"/>
              <w:rPr>
                <w:rFonts w:ascii="Calibri" w:hAnsi="Calibri" w:cs="Calibri"/>
                <w:sz w:val="24"/>
                <w:szCs w:val="24"/>
              </w:rPr>
            </w:pPr>
            <w:r w:rsidRPr="00ED7843">
              <w:rPr>
                <w:rFonts w:ascii="Calibri" w:hAnsi="Calibri" w:cs="Calibri"/>
                <w:sz w:val="24"/>
                <w:szCs w:val="24"/>
              </w:rPr>
              <w:t>Archivace dat (kontrola kvality, pacient), elektronická záloha dat na běžně užívaných médiích (USB).</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68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Záložní zdroj UPS s odpovídajícím výkonem a kapacitou k nabízenému analyzátoru (výdrž minimálně po dobu rozpracovaných analýz</w:t>
            </w:r>
            <w:r w:rsidR="00225365" w:rsidRPr="00ED7843">
              <w:rPr>
                <w:rFonts w:ascii="Calibri" w:hAnsi="Calibri" w:cs="Calibri"/>
                <w:sz w:val="24"/>
                <w:szCs w:val="24"/>
              </w:rPr>
              <w:t xml:space="preserve">, tj. </w:t>
            </w:r>
            <w:r w:rsidR="00700722">
              <w:rPr>
                <w:rFonts w:ascii="Calibri" w:hAnsi="Calibri" w:cs="Calibri"/>
                <w:sz w:val="24"/>
                <w:szCs w:val="24"/>
              </w:rPr>
              <w:t xml:space="preserve">min. </w:t>
            </w:r>
            <w:r w:rsidR="00225365" w:rsidRPr="00ED7843">
              <w:rPr>
                <w:rFonts w:ascii="Calibri" w:hAnsi="Calibri" w:cs="Calibri"/>
                <w:sz w:val="24"/>
                <w:szCs w:val="24"/>
              </w:rPr>
              <w:t>30 minut</w:t>
            </w:r>
            <w:r w:rsidRPr="00ED7843">
              <w:rPr>
                <w:rFonts w:ascii="Calibri" w:hAnsi="Calibri" w:cs="Calibri"/>
                <w:sz w:val="24"/>
                <w:szCs w:val="24"/>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color w:val="FF0000"/>
                <w:sz w:val="20"/>
                <w:szCs w:val="20"/>
                <w:lang w:eastAsia="cs-CZ"/>
              </w:rPr>
            </w:pPr>
          </w:p>
        </w:tc>
      </w:tr>
      <w:tr w:rsidR="00F927C1">
        <w:trPr>
          <w:trHeight w:val="55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lastRenderedPageBreak/>
              <w:t>Uživatelská příručka v českém jazyce – tištěná i v elektronické podobě.</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3"/>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shd w:val="clear" w:color="auto" w:fill="FFFF00"/>
              </w:rPr>
            </w:pPr>
            <w:r w:rsidRPr="00ED7843">
              <w:rPr>
                <w:rFonts w:ascii="Calibri" w:hAnsi="Calibri" w:cs="Calibri"/>
                <w:sz w:val="24"/>
                <w:szCs w:val="24"/>
              </w:rPr>
              <w:t>Pojízdný stůl pod analyzátory.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390"/>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Chemická analýza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7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u w:val="single"/>
              </w:rPr>
              <w:t>Testovací proužky</w:t>
            </w:r>
            <w:r w:rsidRPr="00ED7843">
              <w:rPr>
                <w:rFonts w:ascii="Calibri" w:hAnsi="Calibri" w:cs="Calibri"/>
                <w:sz w:val="24"/>
                <w:szCs w:val="24"/>
              </w:rPr>
              <w:t xml:space="preserve">: pH, </w:t>
            </w:r>
            <w:proofErr w:type="spellStart"/>
            <w:r w:rsidRPr="00ED7843">
              <w:rPr>
                <w:rFonts w:ascii="Calibri" w:hAnsi="Calibri" w:cs="Calibri"/>
                <w:sz w:val="24"/>
                <w:szCs w:val="24"/>
              </w:rPr>
              <w:t>spec</w:t>
            </w:r>
            <w:proofErr w:type="spellEnd"/>
            <w:r w:rsidRPr="00ED7843">
              <w:rPr>
                <w:rFonts w:ascii="Calibri" w:hAnsi="Calibri" w:cs="Calibri"/>
                <w:sz w:val="24"/>
                <w:szCs w:val="24"/>
              </w:rPr>
              <w:t xml:space="preserve">. </w:t>
            </w:r>
            <w:proofErr w:type="gramStart"/>
            <w:r w:rsidRPr="00ED7843">
              <w:rPr>
                <w:rFonts w:ascii="Calibri" w:hAnsi="Calibri" w:cs="Calibri"/>
                <w:sz w:val="24"/>
                <w:szCs w:val="24"/>
              </w:rPr>
              <w:t>hmotnost</w:t>
            </w:r>
            <w:proofErr w:type="gramEnd"/>
            <w:r w:rsidRPr="00ED7843">
              <w:rPr>
                <w:rFonts w:ascii="Calibri" w:hAnsi="Calibri" w:cs="Calibri"/>
                <w:sz w:val="24"/>
                <w:szCs w:val="24"/>
              </w:rPr>
              <w:t xml:space="preserve">, </w:t>
            </w:r>
            <w:proofErr w:type="spellStart"/>
            <w:r w:rsidRPr="00ED7843">
              <w:rPr>
                <w:rFonts w:ascii="Calibri" w:hAnsi="Calibri" w:cs="Calibri"/>
                <w:sz w:val="24"/>
                <w:szCs w:val="24"/>
              </w:rPr>
              <w:t>leu</w:t>
            </w:r>
            <w:proofErr w:type="spellEnd"/>
            <w:r w:rsidRPr="00ED7843">
              <w:rPr>
                <w:rFonts w:ascii="Calibri" w:hAnsi="Calibri" w:cs="Calibri"/>
                <w:sz w:val="24"/>
                <w:szCs w:val="24"/>
              </w:rPr>
              <w:t xml:space="preserve">, </w:t>
            </w:r>
            <w:proofErr w:type="spellStart"/>
            <w:r w:rsidRPr="00ED7843">
              <w:rPr>
                <w:rFonts w:ascii="Calibri" w:hAnsi="Calibri" w:cs="Calibri"/>
                <w:sz w:val="24"/>
                <w:szCs w:val="24"/>
              </w:rPr>
              <w:t>ery</w:t>
            </w:r>
            <w:proofErr w:type="spellEnd"/>
            <w:r w:rsidRPr="00ED7843">
              <w:rPr>
                <w:rFonts w:ascii="Calibri" w:hAnsi="Calibri" w:cs="Calibri"/>
                <w:sz w:val="24"/>
                <w:szCs w:val="24"/>
              </w:rPr>
              <w:t xml:space="preserve">, </w:t>
            </w:r>
            <w:proofErr w:type="spellStart"/>
            <w:r w:rsidRPr="00ED7843">
              <w:rPr>
                <w:rFonts w:ascii="Calibri" w:hAnsi="Calibri" w:cs="Calibri"/>
                <w:sz w:val="24"/>
                <w:szCs w:val="24"/>
              </w:rPr>
              <w:t>glu</w:t>
            </w:r>
            <w:proofErr w:type="spellEnd"/>
            <w:r w:rsidRPr="00ED7843">
              <w:rPr>
                <w:rFonts w:ascii="Calibri" w:hAnsi="Calibri" w:cs="Calibri"/>
                <w:sz w:val="24"/>
                <w:szCs w:val="24"/>
              </w:rPr>
              <w:t xml:space="preserve">, bílkovina, bilirubin, </w:t>
            </w:r>
            <w:proofErr w:type="spellStart"/>
            <w:r w:rsidRPr="00ED7843">
              <w:rPr>
                <w:rFonts w:ascii="Calibri" w:hAnsi="Calibri" w:cs="Calibri"/>
                <w:sz w:val="24"/>
                <w:szCs w:val="24"/>
              </w:rPr>
              <w:t>urobilinogen</w:t>
            </w:r>
            <w:proofErr w:type="spellEnd"/>
            <w:r w:rsidRPr="00ED7843">
              <w:rPr>
                <w:rFonts w:ascii="Calibri" w:hAnsi="Calibri" w:cs="Calibri"/>
                <w:sz w:val="24"/>
                <w:szCs w:val="24"/>
              </w:rPr>
              <w:t>, dusitany, ketolátky, kyselina askorbová, barva, zákal.</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0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eastAsia="Times New Roman" w:hAnsi="Calibri" w:cs="Calibri"/>
                <w:sz w:val="24"/>
                <w:szCs w:val="24"/>
                <w:lang w:eastAsia="cs-CZ"/>
              </w:rPr>
            </w:pPr>
            <w:r w:rsidRPr="00ED7843">
              <w:rPr>
                <w:rFonts w:ascii="Calibri" w:hAnsi="Calibri" w:cs="Calibri"/>
                <w:sz w:val="24"/>
                <w:szCs w:val="24"/>
              </w:rPr>
              <w:t>Kapacita zpracování vzorků &gt; 100 vzorků/hod.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Morfologická analýza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Princip:</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711"/>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Vyhodnocení močového sedimentu na principu obrazové analýzy snímku nativní moče umístěné na podložním sklíčku nebo počítací komůrce bez průtoku při snímání (statické snímání, bez centrifugace) nebo na principu gravitační sedimentace (bez centrifugace).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7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U mikroskopické analýzy vytvoření snímku celého zorného pole.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225365">
            <w:pPr>
              <w:spacing w:after="0" w:line="240" w:lineRule="auto"/>
              <w:textAlignment w:val="baseline"/>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Kontrola a manuální úprava vyhodnocených parametrů v zobrazených snímcích celého zorného pole uživatelem.</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Minimální parametry: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 xml:space="preserve">Erytrocyty (včetně </w:t>
            </w:r>
            <w:proofErr w:type="spellStart"/>
            <w:r w:rsidRPr="00ED7843">
              <w:rPr>
                <w:rFonts w:ascii="Calibri" w:hAnsi="Calibri" w:cs="Calibri"/>
                <w:sz w:val="24"/>
                <w:szCs w:val="24"/>
              </w:rPr>
              <w:t>dysmorfních</w:t>
            </w:r>
            <w:proofErr w:type="spellEnd"/>
            <w:r w:rsidRPr="00ED7843">
              <w:rPr>
                <w:rFonts w:ascii="Calibri" w:hAnsi="Calibri" w:cs="Calibri"/>
                <w:sz w:val="24"/>
                <w:szCs w:val="24"/>
              </w:rPr>
              <w:t xml:space="preserve">), leukocyty, shluky leukocytů, </w:t>
            </w:r>
            <w:proofErr w:type="spellStart"/>
            <w:r w:rsidRPr="00ED7843">
              <w:rPr>
                <w:rFonts w:ascii="Calibri" w:hAnsi="Calibri" w:cs="Calibri"/>
                <w:sz w:val="24"/>
                <w:szCs w:val="24"/>
              </w:rPr>
              <w:t>epitelie</w:t>
            </w:r>
            <w:proofErr w:type="spellEnd"/>
            <w:r w:rsidRPr="00ED7843">
              <w:rPr>
                <w:rFonts w:ascii="Calibri" w:hAnsi="Calibri" w:cs="Calibri"/>
                <w:sz w:val="24"/>
                <w:szCs w:val="24"/>
              </w:rPr>
              <w:t xml:space="preserve"> (různé druhy), válce hyalinní a patologické, hlen, spermie, krystaly, kvasinky, bakterie (diferenciace)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1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Kapacita zpracování vzorků &gt; 100 vzorků/hodinu</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Další požadavky pro oba analyzátory: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b/>
                <w:i/>
                <w:sz w:val="24"/>
                <w:szCs w:val="24"/>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b/>
                <w:i/>
                <w:sz w:val="24"/>
                <w:szCs w:val="24"/>
                <w:lang w:eastAsia="cs-CZ"/>
              </w:rPr>
            </w:pPr>
          </w:p>
        </w:tc>
      </w:tr>
      <w:tr w:rsidR="00F927C1">
        <w:trPr>
          <w:trHeight w:val="1142"/>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1"/>
              <w:rPr>
                <w:rFonts w:ascii="Calibri" w:hAnsi="Calibri" w:cs="Calibri"/>
                <w:sz w:val="24"/>
                <w:szCs w:val="24"/>
              </w:rPr>
            </w:pPr>
            <w:r w:rsidRPr="00ED7843">
              <w:rPr>
                <w:rFonts w:ascii="Calibri" w:hAnsi="Calibri" w:cs="Calibri"/>
                <w:sz w:val="24"/>
                <w:szCs w:val="24"/>
              </w:rPr>
              <w:t xml:space="preserve">Po celou dobu zápůjčky bude dodavatel na své náklady poskytovat veškerý provoz spojený se servisem a opravami přístroje, pravidelnými bezpečnostními kontrolami BTK, validacemi, spotřebním a kontrolním materiálem, kalibracemi, vše dle platné legislativy.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6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lastRenderedPageBreak/>
              <w:t>Plná záruka včetně příslušenství a náhradních dílů po celou dobu výpůjčky.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 xml:space="preserve">Garance zajištění pozáručního servisu včetně náhradních dílů po dobu minimálně trvání výpůjčky.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8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Požadovaný přístroj musí být nový, nikoli repasovaný.</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Napojení hlavního analyzátoru na LIS (</w:t>
            </w:r>
            <w:proofErr w:type="spellStart"/>
            <w:r w:rsidRPr="00ED7843">
              <w:rPr>
                <w:rFonts w:ascii="Calibri" w:hAnsi="Calibri" w:cs="Calibri"/>
                <w:sz w:val="24"/>
                <w:szCs w:val="24"/>
              </w:rPr>
              <w:t>Envis</w:t>
            </w:r>
            <w:proofErr w:type="spellEnd"/>
            <w:r w:rsidRPr="00ED7843">
              <w:rPr>
                <w:rFonts w:ascii="Calibri" w:hAnsi="Calibri" w:cs="Calibri"/>
                <w:sz w:val="24"/>
                <w:szCs w:val="24"/>
              </w:rPr>
              <w:t xml:space="preserve"> LIMS fy DS Soft Olomouc) v ceně dodávky na vrub dodavatele, oboustranná komunikace s LIS v reálném čase.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30"/>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Aplikační podpora a dostupnost servisu i mimo pracovní dny do 24 hodin.</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49"/>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On-line vzdálená správa analyzátoru pro servisní a analytické konzultace.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 xml:space="preserve">Pravidelná aktualizace firmwaru a softwaru linky a všech dalších dodaných zařízení, splnění požadavků na </w:t>
            </w:r>
            <w:proofErr w:type="spellStart"/>
            <w:r w:rsidRPr="00ED7843">
              <w:rPr>
                <w:rFonts w:ascii="Calibri" w:hAnsi="Calibri" w:cs="Calibri"/>
                <w:sz w:val="24"/>
                <w:szCs w:val="24"/>
              </w:rPr>
              <w:t>kyberbezpečnost</w:t>
            </w:r>
            <w:proofErr w:type="spellEnd"/>
            <w:r w:rsidRPr="00ED7843">
              <w:rPr>
                <w:rFonts w:ascii="Calibri" w:hAnsi="Calibri" w:cs="Calibri"/>
                <w:sz w:val="24"/>
                <w:szCs w:val="24"/>
              </w:rPr>
              <w:t xml:space="preserve"> (viz samostatná příloha).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bl>
    <w:p w:rsidR="00F927C1" w:rsidRDefault="00F927C1">
      <w:pPr>
        <w:rPr>
          <w:rFonts w:ascii="Calibri" w:eastAsia="Times New Roman" w:hAnsi="Calibri" w:cs="Calibri"/>
          <w:b/>
          <w:bCs/>
          <w:i/>
          <w:iCs/>
          <w:lang w:eastAsia="cs-CZ"/>
        </w:rPr>
      </w:pPr>
    </w:p>
    <w:sectPr w:rsidR="00F927C1" w:rsidSect="00700722">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7" w:bottom="1276" w:left="1417" w:header="708"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17" w:rsidRDefault="00DC6017">
      <w:pPr>
        <w:spacing w:after="0" w:line="240" w:lineRule="auto"/>
      </w:pPr>
      <w:r>
        <w:separator/>
      </w:r>
    </w:p>
  </w:endnote>
  <w:endnote w:type="continuationSeparator" w:id="0">
    <w:p w:rsidR="00DC6017" w:rsidRDefault="00DC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F927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pat"/>
    </w:pPr>
    <w:r>
      <w:rPr>
        <w:noProof/>
        <w:lang w:eastAsia="cs-CZ"/>
      </w:rPr>
      <mc:AlternateContent>
        <mc:Choice Requires="wps">
          <w:drawing>
            <wp:anchor distT="0" distB="12700" distL="0" distR="0" simplePos="0" relativeHeight="251657216" behindDoc="1" locked="0" layoutInCell="0" allowOverlap="1">
              <wp:simplePos x="0" y="0"/>
              <wp:positionH relativeFrom="page">
                <wp:posOffset>0</wp:posOffset>
              </wp:positionH>
              <wp:positionV relativeFrom="page">
                <wp:posOffset>7096125</wp:posOffset>
              </wp:positionV>
              <wp:extent cx="10692130" cy="273050"/>
              <wp:effectExtent l="0" t="0" r="0" b="12700"/>
              <wp:wrapNone/>
              <wp:docPr id="1" name="MSIPCMf47e48ef92e02bb36d01ee84" descr="{&quot;HashCode&quot;:40466801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0692000" cy="272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prstTxWarp prst="textNoShape">
                        <a:avLst/>
                      </a:prstTxWarp>
                      <a:noAutofit/>
                    </wps:bodyPr>
                  </wps:wsp>
                </a:graphicData>
              </a:graphic>
            </wp:anchor>
          </w:drawing>
        </mc:Choice>
        <mc:Fallback>
          <w:pict>
            <v:rect id="MSIPCMf47e48ef92e02bb36d01ee84" o:spid="_x0000_s1026" alt="{&quot;HashCode&quot;:404668015,&quot;Height&quot;:595.0,&quot;Width&quot;:841.0,&quot;Placement&quot;:&quot;Footer&quot;,&quot;Index&quot;:&quot;Primary&quot;,&quot;Section&quot;:1,&quot;Top&quot;:0.0,&quot;Left&quot;:0.0}" style="position:absolute;margin-left:0;margin-top:558.75pt;width:841.9pt;height:21.5pt;z-index:-251659264;visibility:visible;mso-wrap-style:square;mso-wrap-distance-left:0;mso-wrap-distance-top:0;mso-wrap-distance-right:0;mso-wrap-distance-bottom:1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" o:allowincell="f" filled="f" stroked="f" strokeweight=".5pt">
              <v:textbox inset="7.06mm,0,,0">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pat"/>
    </w:pPr>
    <w:r>
      <w:rPr>
        <w:noProof/>
        <w:lang w:eastAsia="cs-CZ"/>
      </w:rPr>
      <mc:AlternateContent>
        <mc:Choice Requires="wps">
          <w:drawing>
            <wp:anchor distT="0" distB="12700" distL="0" distR="0" simplePos="0" relativeHeight="251658240" behindDoc="1" locked="0" layoutInCell="0" allowOverlap="1">
              <wp:simplePos x="0" y="0"/>
              <wp:positionH relativeFrom="page">
                <wp:posOffset>0</wp:posOffset>
              </wp:positionH>
              <wp:positionV relativeFrom="page">
                <wp:posOffset>7096125</wp:posOffset>
              </wp:positionV>
              <wp:extent cx="10692130" cy="273050"/>
              <wp:effectExtent l="0" t="0" r="0" b="12700"/>
              <wp:wrapNone/>
              <wp:docPr id="2" name="MSIPCMf47e48ef92e02bb36d01ee84" descr="{&quot;HashCode&quot;:40466801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0692000" cy="272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prstTxWarp prst="textNoShape">
                        <a:avLst/>
                      </a:prstTxWarp>
                      <a:noAutofit/>
                    </wps:bodyPr>
                  </wps:wsp>
                </a:graphicData>
              </a:graphic>
            </wp:anchor>
          </w:drawing>
        </mc:Choice>
        <mc:Fallback>
          <w:pict>
            <v:rect id="_x0000_s1027" alt="{&quot;HashCode&quot;:404668015,&quot;Height&quot;:595.0,&quot;Width&quot;:841.0,&quot;Placement&quot;:&quot;Footer&quot;,&quot;Index&quot;:&quot;Primary&quot;,&quot;Section&quot;:1,&quot;Top&quot;:0.0,&quot;Left&quot;:0.0}" style="position:absolute;margin-left:0;margin-top:558.75pt;width:841.9pt;height:21.5pt;z-index:-251658240;visibility:visible;mso-wrap-style:square;mso-wrap-distance-left:0;mso-wrap-distance-top:0;mso-wrap-distance-right:0;mso-wrap-distance-bottom:1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" o:allowincell="f" filled="f" stroked="f" strokeweight=".5pt">
              <v:textbox inset="7.06mm,0,,0">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17" w:rsidRDefault="00DC6017">
      <w:pPr>
        <w:spacing w:after="0" w:line="240" w:lineRule="auto"/>
      </w:pPr>
      <w:r>
        <w:separator/>
      </w:r>
    </w:p>
  </w:footnote>
  <w:footnote w:type="continuationSeparator" w:id="0">
    <w:p w:rsidR="00DC6017" w:rsidRDefault="00DC6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F927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hlav"/>
    </w:pPr>
    <w:r>
      <w:t>Příloha č. 5 ZD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hlav"/>
    </w:pPr>
    <w:r>
      <w:t>Příloha č. 5 ZD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C1"/>
    <w:rsid w:val="00225365"/>
    <w:rsid w:val="006F297E"/>
    <w:rsid w:val="00700722"/>
    <w:rsid w:val="00A36929"/>
    <w:rsid w:val="00D170F7"/>
    <w:rsid w:val="00DC6017"/>
    <w:rsid w:val="00E330AE"/>
    <w:rsid w:val="00ED198F"/>
    <w:rsid w:val="00ED7843"/>
    <w:rsid w:val="00F927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CDE5D-81EE-4ED2-87C0-B0E67EE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24C7D"/>
  </w:style>
  <w:style w:type="character" w:customStyle="1" w:styleId="ZpatChar">
    <w:name w:val="Zápatí Char"/>
    <w:basedOn w:val="Standardnpsmoodstavce"/>
    <w:link w:val="Zpat"/>
    <w:uiPriority w:val="99"/>
    <w:qFormat/>
    <w:rsid w:val="00B24C7D"/>
  </w:style>
  <w:style w:type="character" w:customStyle="1" w:styleId="ZkladntextChar">
    <w:name w:val="Základní text Char"/>
    <w:basedOn w:val="Standardnpsmoodstavce"/>
    <w:link w:val="Zkladntext"/>
    <w:qFormat/>
    <w:rsid w:val="000F384B"/>
    <w:rPr>
      <w:rFonts w:ascii="Times New Roman" w:eastAsia="Times New Roman" w:hAnsi="Times New Roman" w:cs="Times New Roman"/>
      <w:color w:val="000000"/>
      <w:kern w:val="2"/>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0F384B"/>
    <w:pPr>
      <w:spacing w:after="120" w:line="240" w:lineRule="auto"/>
      <w:textAlignment w:val="baseline"/>
    </w:pPr>
    <w:rPr>
      <w:rFonts w:ascii="Times New Roman" w:eastAsia="Times New Roman" w:hAnsi="Times New Roman" w:cs="Times New Roman"/>
      <w:color w:val="000000"/>
      <w:kern w:val="2"/>
      <w:sz w:val="20"/>
      <w:szCs w:val="20"/>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B24C7D"/>
    <w:pPr>
      <w:tabs>
        <w:tab w:val="center" w:pos="4536"/>
        <w:tab w:val="right" w:pos="9072"/>
      </w:tabs>
      <w:spacing w:after="0" w:line="240" w:lineRule="auto"/>
    </w:pPr>
  </w:style>
  <w:style w:type="paragraph" w:styleId="Zpat">
    <w:name w:val="footer"/>
    <w:basedOn w:val="Normln"/>
    <w:link w:val="ZpatChar"/>
    <w:uiPriority w:val="99"/>
    <w:unhideWhenUsed/>
    <w:rsid w:val="00B24C7D"/>
    <w:pPr>
      <w:tabs>
        <w:tab w:val="center" w:pos="4536"/>
        <w:tab w:val="right" w:pos="9072"/>
      </w:tabs>
      <w:spacing w:after="0" w:line="240" w:lineRule="auto"/>
    </w:pPr>
  </w:style>
  <w:style w:type="paragraph" w:customStyle="1" w:styleId="Normln2">
    <w:name w:val="Normální2"/>
    <w:qFormat/>
    <w:rsid w:val="000F384B"/>
    <w:pPr>
      <w:textAlignment w:val="baseline"/>
    </w:pPr>
    <w:rPr>
      <w:rFonts w:ascii="Times New Roman" w:eastAsia="Times New Roman" w:hAnsi="Times New Roman" w:cs="Times New Roman"/>
      <w:color w:val="000000"/>
      <w:kern w:val="2"/>
      <w:sz w:val="20"/>
      <w:szCs w:val="20"/>
      <w:lang w:eastAsia="cs-CZ"/>
    </w:rPr>
  </w:style>
  <w:style w:type="paragraph" w:customStyle="1" w:styleId="Odstavecseseznamem1">
    <w:name w:val="Odstavec se seznamem1"/>
    <w:basedOn w:val="Normln"/>
    <w:qFormat/>
    <w:rsid w:val="000F384B"/>
    <w:pPr>
      <w:spacing w:line="240" w:lineRule="auto"/>
      <w:ind w:left="720"/>
      <w:contextualSpacing/>
      <w:textAlignment w:val="baseline"/>
    </w:pPr>
    <w:rPr>
      <w:rFonts w:ascii="Times New Roman" w:eastAsia="Times New Roman" w:hAnsi="Times New Roman" w:cs="Times New Roman"/>
      <w:color w:val="000000"/>
      <w:kern w:val="2"/>
      <w:sz w:val="20"/>
      <w:szCs w:val="20"/>
      <w:lang w:eastAsia="cs-CZ"/>
    </w:rPr>
  </w:style>
  <w:style w:type="paragraph" w:customStyle="1" w:styleId="Prosttext1">
    <w:name w:val="Prostý text1"/>
    <w:basedOn w:val="Normln"/>
    <w:qFormat/>
    <w:rsid w:val="002A2161"/>
    <w:pPr>
      <w:spacing w:after="0" w:line="240" w:lineRule="auto"/>
      <w:textAlignment w:val="baseline"/>
    </w:pPr>
    <w:rPr>
      <w:rFonts w:ascii="Courier New" w:eastAsia="Times New Roman" w:hAnsi="Courier New" w:cs="Courier New"/>
      <w:color w:val="000000"/>
      <w:kern w:val="2"/>
      <w:sz w:val="20"/>
      <w:szCs w:val="20"/>
      <w:lang w:eastAsia="cs-CZ"/>
    </w:rPr>
  </w:style>
  <w:style w:type="paragraph" w:customStyle="1" w:styleId="Normln1">
    <w:name w:val="Normální1"/>
    <w:qFormat/>
    <w:rsid w:val="002A2161"/>
    <w:pPr>
      <w:textAlignment w:val="baseline"/>
    </w:pPr>
    <w:rPr>
      <w:rFonts w:ascii="Times New Roman" w:eastAsia="Times New Roman" w:hAnsi="Times New Roman" w:cs="Times New Roman"/>
      <w:kern w:val="2"/>
      <w:sz w:val="20"/>
      <w:szCs w:val="20"/>
      <w:lang w:eastAsia="zh-CN"/>
    </w:rPr>
  </w:style>
  <w:style w:type="paragraph" w:styleId="Odstavecseseznamem">
    <w:name w:val="List Paragraph"/>
    <w:basedOn w:val="Normln"/>
    <w:uiPriority w:val="34"/>
    <w:qFormat/>
    <w:rsid w:val="00486952"/>
    <w:pPr>
      <w:ind w:left="720"/>
      <w:contextualSpacing/>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2848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103717</dc:creator>
  <dc:description/>
  <cp:lastModifiedBy>103717</cp:lastModifiedBy>
  <cp:revision>2</cp:revision>
  <cp:lastPrinted>2025-04-11T10:01:00Z</cp:lastPrinted>
  <dcterms:created xsi:type="dcterms:W3CDTF">2025-09-15T13:56:00Z</dcterms:created>
  <dcterms:modified xsi:type="dcterms:W3CDTF">2025-09-15T13:56:00Z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ActionId">
    <vt:lpwstr>27c6ff5e-ece1-4241-aa3c-0a37e0b7e214</vt:lpwstr>
  </property>
  <property fmtid="{D5CDD505-2E9C-101B-9397-08002B2CF9AE}" pid="3" name="MSIP_Label_215ad6d0-798b-44f9-b3fd-112ad6275fb4_ContentBits">
    <vt:lpwstr>2</vt:lpwstr>
  </property>
  <property fmtid="{D5CDD505-2E9C-101B-9397-08002B2CF9AE}" pid="4" name="MSIP_Label_215ad6d0-798b-44f9-b3fd-112ad6275fb4_Enabled">
    <vt:lpwstr>true</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etDate">
    <vt:lpwstr>2025-04-07T09:53:54Z</vt:lpwstr>
  </property>
  <property fmtid="{D5CDD505-2E9C-101B-9397-08002B2CF9AE}" pid="8" name="MSIP_Label_215ad6d0-798b-44f9-b3fd-112ad6275fb4_SiteId">
    <vt:lpwstr>39f24d0b-aa30-4551-8e81-43c77cf1000e</vt:lpwstr>
  </property>
</Properties>
</file>