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666" w14:textId="77777777" w:rsidR="00E8612C" w:rsidRDefault="00E8612C" w:rsidP="00E8612C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444A94FC" w14:textId="77777777" w:rsidR="00E8612C" w:rsidRDefault="00E8612C" w:rsidP="00E8612C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7C426EA5" w14:textId="77777777" w:rsidR="00E8612C" w:rsidRPr="005653A6" w:rsidRDefault="00E8612C" w:rsidP="00E8612C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3E655154" w14:textId="2AEF35DC" w:rsidR="00E8612C" w:rsidRPr="00E8612C" w:rsidRDefault="00E8612C" w:rsidP="00E8612C">
      <w:pPr>
        <w:widowControl w:val="0"/>
        <w:spacing w:after="240" w:line="240" w:lineRule="auto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4FEDCE4B" w14:textId="77777777" w:rsidR="00E8612C" w:rsidRPr="006B38C3" w:rsidRDefault="00E8612C" w:rsidP="00E8612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710FF7B9" w14:textId="77777777" w:rsidR="00E8612C" w:rsidRPr="006B38C3" w:rsidRDefault="00E8612C" w:rsidP="00E8612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0C9F644E" w14:textId="77777777" w:rsidR="00E8612C" w:rsidRPr="006B38C3" w:rsidRDefault="00E8612C" w:rsidP="00E8612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59D7AD9F" w14:textId="77777777" w:rsidR="00E8612C" w:rsidRPr="006B38C3" w:rsidRDefault="00E8612C" w:rsidP="00E8612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422C89D3" w14:textId="77777777" w:rsidR="00E8612C" w:rsidRPr="006B38C3" w:rsidRDefault="00E8612C" w:rsidP="00E8612C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41B02E0E" w14:textId="77777777" w:rsidR="00E8612C" w:rsidRPr="006B38C3" w:rsidRDefault="00E8612C" w:rsidP="00E8612C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EE3B717" w14:textId="77777777" w:rsidR="00E8612C" w:rsidRPr="006B38C3" w:rsidRDefault="00E8612C" w:rsidP="00E8612C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20F3A554" w14:textId="77777777" w:rsidR="00E8612C" w:rsidRDefault="00E8612C" w:rsidP="00E8612C">
      <w:p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3E1A554B" w14:textId="77777777" w:rsidR="00E8612C" w:rsidRDefault="00E8612C" w:rsidP="00E8612C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1346E68E" w14:textId="77777777" w:rsidR="00E8612C" w:rsidRDefault="00E8612C" w:rsidP="00E8612C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34E20C02" w14:textId="61FAC5A6" w:rsidR="00E8612C" w:rsidRPr="00E8612C" w:rsidRDefault="00E8612C" w:rsidP="00E8612C">
      <w:pPr>
        <w:spacing w:after="360" w:line="240" w:lineRule="auto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</w:t>
      </w:r>
      <w:r>
        <w:rPr>
          <w:rFonts w:ascii="Tahoma" w:hAnsi="Tahoma" w:cs="Tahoma"/>
          <w:sz w:val="19"/>
          <w:szCs w:val="19"/>
        </w:rPr>
        <w:t>.</w:t>
      </w:r>
    </w:p>
    <w:p w14:paraId="0FBD0474" w14:textId="1A8F6C99" w:rsidR="00124244" w:rsidRPr="002C0BB1" w:rsidRDefault="008741A7" w:rsidP="00E8612C">
      <w:pPr>
        <w:spacing w:line="240" w:lineRule="auto"/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133D3F">
        <w:rPr>
          <w:rFonts w:ascii="Tahoma" w:hAnsi="Tahoma" w:cs="Tahoma"/>
          <w:b/>
          <w:sz w:val="20"/>
        </w:rPr>
        <w:t>–</w:t>
      </w:r>
      <w:r w:rsidR="0020448F">
        <w:rPr>
          <w:rFonts w:ascii="Tahoma" w:hAnsi="Tahoma" w:cs="Tahoma"/>
          <w:b/>
          <w:sz w:val="20"/>
        </w:rPr>
        <w:t xml:space="preserve"> 2x</w:t>
      </w:r>
      <w:r w:rsidR="00133D3F">
        <w:rPr>
          <w:rFonts w:ascii="Tahoma" w:hAnsi="Tahoma" w:cs="Tahoma"/>
          <w:b/>
          <w:sz w:val="20"/>
        </w:rPr>
        <w:t xml:space="preserve"> </w:t>
      </w:r>
      <w:r w:rsidR="00E36040">
        <w:rPr>
          <w:rFonts w:ascii="Tahoma" w:hAnsi="Tahoma" w:cs="Tahoma"/>
          <w:b/>
          <w:sz w:val="20"/>
        </w:rPr>
        <w:t>Myčka podložních mís (</w:t>
      </w:r>
      <w:r w:rsidR="0020448F">
        <w:rPr>
          <w:rFonts w:ascii="Tahoma" w:hAnsi="Tahoma" w:cs="Tahoma"/>
          <w:b/>
          <w:sz w:val="20"/>
        </w:rPr>
        <w:t>NIP + Chirurgická JIP)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82"/>
        <w:gridCol w:w="975"/>
        <w:gridCol w:w="2248"/>
        <w:gridCol w:w="10"/>
      </w:tblGrid>
      <w:tr w:rsidR="008741A7" w:rsidRPr="005A6ACC" w14:paraId="7C5DEA5C" w14:textId="77777777" w:rsidTr="006D0A87">
        <w:tc>
          <w:tcPr>
            <w:tcW w:w="8731" w:type="dxa"/>
            <w:gridSpan w:val="5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6D0A87">
        <w:tc>
          <w:tcPr>
            <w:tcW w:w="5498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3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6D0A87">
        <w:tc>
          <w:tcPr>
            <w:tcW w:w="5498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3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6D0A87">
        <w:tc>
          <w:tcPr>
            <w:tcW w:w="5498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3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6D0A87">
        <w:tc>
          <w:tcPr>
            <w:tcW w:w="5498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3"/>
          </w:tcPr>
          <w:p w14:paraId="6B6422C7" w14:textId="7490EA61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r w:rsidR="00545BDF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="00545BDF"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E8612C">
        <w:trPr>
          <w:trHeight w:val="127"/>
        </w:trPr>
        <w:tc>
          <w:tcPr>
            <w:tcW w:w="8731" w:type="dxa"/>
            <w:gridSpan w:val="5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6D0A87">
        <w:trPr>
          <w:gridAfter w:val="1"/>
          <w:wAfter w:w="10" w:type="dxa"/>
        </w:trPr>
        <w:tc>
          <w:tcPr>
            <w:tcW w:w="5416" w:type="dxa"/>
          </w:tcPr>
          <w:p w14:paraId="50DF580E" w14:textId="77777777" w:rsidR="008741A7" w:rsidRPr="005A6ACC" w:rsidRDefault="008741A7" w:rsidP="00E8612C">
            <w:pPr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E8612C">
            <w:pPr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E8612C">
            <w:pPr>
              <w:spacing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E8612C">
            <w:pPr>
              <w:spacing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0267A167" w14:textId="6030B87D" w:rsidR="008741A7" w:rsidRPr="00922DD0" w:rsidRDefault="008846C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Mycí a dezinfekční automat</w:t>
            </w:r>
            <w:r w:rsidR="00AD331E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určený k mytí a tepelné dezinfekci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podložních mís a </w:t>
            </w:r>
            <w:r w:rsidR="000C177A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močových lahví</w:t>
            </w:r>
            <w:r w:rsidR="00AD331E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či jiných hygienických nádob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pro využití na lůžkových nemocničních odděleních</w:t>
            </w:r>
          </w:p>
        </w:tc>
        <w:tc>
          <w:tcPr>
            <w:tcW w:w="1057" w:type="dxa"/>
            <w:gridSpan w:val="2"/>
          </w:tcPr>
          <w:p w14:paraId="5CA78C09" w14:textId="2F2ABC24" w:rsidR="008741A7" w:rsidRPr="00922DD0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922DD0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C22B6" w:rsidRPr="005A6ACC" w14:paraId="7E807B22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68E779C4" w14:textId="41BA5C9A" w:rsidR="006C22B6" w:rsidRPr="00922DD0" w:rsidRDefault="008846C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Kapacita </w:t>
            </w:r>
            <w:r w:rsidR="000C177A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minimálně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2 podložní mísy</w:t>
            </w:r>
            <w:r w:rsidR="0018655C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, 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3-4 </w:t>
            </w:r>
            <w:r w:rsidR="000C177A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močové láhve</w:t>
            </w:r>
          </w:p>
        </w:tc>
        <w:tc>
          <w:tcPr>
            <w:tcW w:w="1057" w:type="dxa"/>
            <w:gridSpan w:val="2"/>
          </w:tcPr>
          <w:p w14:paraId="13374D24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B9717FF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C22B6" w:rsidRPr="005A6ACC" w14:paraId="1575793D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76F1154F" w14:textId="1D97C3BB" w:rsidR="006C22B6" w:rsidRPr="00922DD0" w:rsidRDefault="000C177A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Celonerezové provedení</w:t>
            </w:r>
            <w:r w:rsidR="002B34AC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včetně mycí komory</w:t>
            </w:r>
          </w:p>
        </w:tc>
        <w:tc>
          <w:tcPr>
            <w:tcW w:w="1057" w:type="dxa"/>
            <w:gridSpan w:val="2"/>
          </w:tcPr>
          <w:p w14:paraId="19CB6EEA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2C6ABA2F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B34AC" w:rsidRPr="005A6ACC" w14:paraId="50348912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E927480" w14:textId="2015AB5B" w:rsidR="002B34AC" w:rsidRPr="00922DD0" w:rsidRDefault="002B34AC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Objem mycí komory minimálně 70 l</w:t>
            </w:r>
          </w:p>
        </w:tc>
        <w:tc>
          <w:tcPr>
            <w:tcW w:w="1057" w:type="dxa"/>
            <w:gridSpan w:val="2"/>
          </w:tcPr>
          <w:p w14:paraId="138C279F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02D8BF6E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B34AC" w:rsidRPr="005A6ACC" w14:paraId="18297B27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D6AA102" w14:textId="332AD071" w:rsidR="002B34AC" w:rsidRPr="00922DD0" w:rsidRDefault="004D4E51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Jednodveřové, p</w:t>
            </w:r>
            <w:r w:rsidR="002B34AC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řední plnění s uzavíratelnými dvířky</w:t>
            </w:r>
          </w:p>
        </w:tc>
        <w:tc>
          <w:tcPr>
            <w:tcW w:w="1057" w:type="dxa"/>
            <w:gridSpan w:val="2"/>
          </w:tcPr>
          <w:p w14:paraId="3EAF9016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703764F8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D4E51" w:rsidRPr="005A6ACC" w14:paraId="6B10287F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1B704B88" w14:textId="25113D00" w:rsidR="004D4E51" w:rsidRPr="00922DD0" w:rsidRDefault="004D4E51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Dvířka zařízení jsou během cyklu blokována proti otevření</w:t>
            </w:r>
          </w:p>
        </w:tc>
        <w:tc>
          <w:tcPr>
            <w:tcW w:w="1057" w:type="dxa"/>
            <w:gridSpan w:val="2"/>
          </w:tcPr>
          <w:p w14:paraId="3E0E64E4" w14:textId="77777777" w:rsidR="004D4E51" w:rsidRPr="00922DD0" w:rsidRDefault="004D4E5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941596B" w14:textId="77777777" w:rsidR="004D4E51" w:rsidRPr="00922DD0" w:rsidRDefault="004D4E5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D0A87" w:rsidRPr="005A6ACC" w14:paraId="2207781D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1FC407A7" w14:textId="0435DAB9" w:rsidR="006D0A87" w:rsidRPr="00922DD0" w:rsidRDefault="006D0A87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Ovládání přes </w:t>
            </w:r>
            <w:r w:rsidR="00092736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digitální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displej</w:t>
            </w:r>
            <w:r w:rsidR="00545BDF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v českém jazyce</w:t>
            </w:r>
          </w:p>
        </w:tc>
        <w:tc>
          <w:tcPr>
            <w:tcW w:w="1057" w:type="dxa"/>
            <w:gridSpan w:val="2"/>
          </w:tcPr>
          <w:p w14:paraId="3E66648A" w14:textId="77777777" w:rsidR="006D0A87" w:rsidRPr="00922DD0" w:rsidRDefault="006D0A8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792BD7EC" w14:textId="77777777" w:rsidR="006D0A87" w:rsidRPr="00922DD0" w:rsidRDefault="006D0A8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45BDF" w:rsidRPr="005A6ACC" w14:paraId="32EE2214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6538AB0F" w14:textId="5F058A1F" w:rsidR="00545BDF" w:rsidRPr="00922DD0" w:rsidRDefault="00545BDF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lastRenderedPageBreak/>
              <w:t>U</w:t>
            </w:r>
            <w:r w:rsidR="00FC7FA1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kládání 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min</w:t>
            </w:r>
            <w:r w:rsidR="00FC7FA1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.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5000 záznamů o provedených cyklech do paměti</w:t>
            </w:r>
            <w:r w:rsidR="00FC7FA1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zařízení</w:t>
            </w:r>
          </w:p>
        </w:tc>
        <w:tc>
          <w:tcPr>
            <w:tcW w:w="1057" w:type="dxa"/>
            <w:gridSpan w:val="2"/>
          </w:tcPr>
          <w:p w14:paraId="4A074AB8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14CA60BE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C177A" w:rsidRPr="005A6ACC" w14:paraId="751BCE7B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A8E010B" w14:textId="25781F52" w:rsidR="000C177A" w:rsidRPr="00922DD0" w:rsidRDefault="002B34AC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Výběr z minimálně tří přednastavených mycích programů </w:t>
            </w:r>
          </w:p>
        </w:tc>
        <w:tc>
          <w:tcPr>
            <w:tcW w:w="1057" w:type="dxa"/>
            <w:gridSpan w:val="2"/>
          </w:tcPr>
          <w:p w14:paraId="74CAD7BD" w14:textId="77777777" w:rsidR="000C177A" w:rsidRPr="00922DD0" w:rsidRDefault="000C177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24C35836" w14:textId="77777777" w:rsidR="000C177A" w:rsidRPr="00922DD0" w:rsidRDefault="000C177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B34AC" w:rsidRPr="005A6ACC" w14:paraId="7FD20508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2D693EC" w14:textId="0CACCEC6" w:rsidR="002B34AC" w:rsidRPr="00922DD0" w:rsidRDefault="002B34AC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Délka cyklu odpovídá typu zvoleného programu a stupni znečištění</w:t>
            </w:r>
          </w:p>
        </w:tc>
        <w:tc>
          <w:tcPr>
            <w:tcW w:w="1057" w:type="dxa"/>
            <w:gridSpan w:val="2"/>
          </w:tcPr>
          <w:p w14:paraId="0CF593CA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43351B2" w14:textId="77777777" w:rsidR="002B34AC" w:rsidRPr="00922DD0" w:rsidRDefault="002B34AC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2736" w:rsidRPr="005A6ACC" w14:paraId="50AE8EA9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7A3FF0FB" w14:textId="23A12BFD" w:rsidR="00092736" w:rsidRPr="00922DD0" w:rsidRDefault="0009273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Programy lze upravit dle stupně znečištění</w:t>
            </w:r>
          </w:p>
        </w:tc>
        <w:tc>
          <w:tcPr>
            <w:tcW w:w="1057" w:type="dxa"/>
            <w:gridSpan w:val="2"/>
          </w:tcPr>
          <w:p w14:paraId="020CC24D" w14:textId="77777777" w:rsidR="00092736" w:rsidRPr="00922DD0" w:rsidRDefault="00092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3E86B3DA" w14:textId="77777777" w:rsidR="00092736" w:rsidRPr="00922DD0" w:rsidRDefault="00092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C22B6" w:rsidRPr="005A6ACC" w14:paraId="48C98098" w14:textId="77777777" w:rsidTr="00E8612C">
        <w:trPr>
          <w:gridAfter w:val="1"/>
          <w:wAfter w:w="10" w:type="dxa"/>
          <w:trHeight w:val="482"/>
        </w:trPr>
        <w:tc>
          <w:tcPr>
            <w:tcW w:w="5416" w:type="dxa"/>
            <w:vAlign w:val="center"/>
          </w:tcPr>
          <w:p w14:paraId="3099EC35" w14:textId="3C5B45F6" w:rsidR="006C22B6" w:rsidRPr="00922DD0" w:rsidRDefault="000C177A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Vizuální indikace průběhu mycího programu a aktuální </w:t>
            </w:r>
            <w:r w:rsidR="006D0A87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teploty </w:t>
            </w:r>
          </w:p>
        </w:tc>
        <w:tc>
          <w:tcPr>
            <w:tcW w:w="1057" w:type="dxa"/>
            <w:gridSpan w:val="2"/>
          </w:tcPr>
          <w:p w14:paraId="1C078B4B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8776E25" w14:textId="77777777" w:rsidR="006C22B6" w:rsidRPr="00922DD0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4378" w:rsidRPr="005A6ACC" w14:paraId="27FC49DA" w14:textId="77777777" w:rsidTr="00E8612C">
        <w:trPr>
          <w:gridAfter w:val="1"/>
          <w:wAfter w:w="10" w:type="dxa"/>
          <w:trHeight w:val="718"/>
        </w:trPr>
        <w:tc>
          <w:tcPr>
            <w:tcW w:w="5416" w:type="dxa"/>
            <w:vAlign w:val="center"/>
          </w:tcPr>
          <w:p w14:paraId="15FEA38C" w14:textId="20D90C78" w:rsidR="00F94378" w:rsidRPr="00922DD0" w:rsidRDefault="00F94378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Proces dezinfekce je kontrolován a monitorován </w:t>
            </w:r>
            <w:r w:rsidR="00545BDF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vícenásobným</w:t>
            </w:r>
            <w:r w:rsidR="00FC7FA1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i</w:t>
            </w:r>
            <w:r w:rsidR="00545BDF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teplotními senzory</w:t>
            </w:r>
            <w:r w:rsidR="00545BDF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– min. dvě na sobě </w:t>
            </w:r>
            <w:r w:rsidR="00FC7FA1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nezávislá </w:t>
            </w:r>
            <w:r w:rsidR="00545BDF"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čidla</w:t>
            </w:r>
          </w:p>
        </w:tc>
        <w:tc>
          <w:tcPr>
            <w:tcW w:w="1057" w:type="dxa"/>
            <w:gridSpan w:val="2"/>
          </w:tcPr>
          <w:p w14:paraId="64D501CE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5AB334C5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F08E6E4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990B5A3" w14:textId="677FE395" w:rsidR="008741A7" w:rsidRPr="00922DD0" w:rsidRDefault="002B34AC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Zařízení signalizuje ukončení mycího programu a také případné poruchové stavy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922DD0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922DD0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45BDF" w:rsidRPr="005A6ACC" w14:paraId="526103E6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225F59A9" w14:textId="2CB9D8F9" w:rsidR="00545BDF" w:rsidRPr="00922DD0" w:rsidRDefault="00545BDF" w:rsidP="006C22B6">
            <w:pPr>
              <w:spacing w:before="60" w:after="60" w:line="240" w:lineRule="auto"/>
              <w:rPr>
                <w:rFonts w:ascii="Tahoma" w:eastAsiaTheme="minorHAnsi" w:hAnsi="Tahoma" w:cs="Tahoma"/>
                <w:bCs/>
                <w:sz w:val="20"/>
                <w:szCs w:val="20"/>
                <w:highlight w:val="yellow"/>
                <w:lang w:eastAsia="en-US"/>
              </w:rPr>
            </w:pPr>
            <w:r w:rsidRPr="00922DD0">
              <w:rPr>
                <w:rFonts w:ascii="Tahoma" w:hAnsi="Tahoma" w:cs="Tahoma"/>
                <w:bCs/>
                <w:sz w:val="20"/>
                <w:szCs w:val="20"/>
              </w:rPr>
              <w:t>Mytí cirkulující vodou s automatickým dávkováním mycího prostředku</w:t>
            </w:r>
          </w:p>
        </w:tc>
        <w:tc>
          <w:tcPr>
            <w:tcW w:w="1057" w:type="dxa"/>
            <w:gridSpan w:val="2"/>
          </w:tcPr>
          <w:p w14:paraId="3EFF7A11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9FAB790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45BDF" w:rsidRPr="005A6ACC" w14:paraId="5FF67172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0A0975FE" w14:textId="4B85A2FC" w:rsidR="00545BDF" w:rsidRPr="00922DD0" w:rsidRDefault="00FC7FA1" w:rsidP="006C22B6">
            <w:pPr>
              <w:spacing w:before="60" w:after="60" w:line="240" w:lineRule="auto"/>
              <w:rPr>
                <w:rFonts w:ascii="Tahoma" w:eastAsiaTheme="minorHAnsi" w:hAnsi="Tahoma" w:cs="Tahoma"/>
                <w:bCs/>
                <w:sz w:val="20"/>
                <w:szCs w:val="20"/>
                <w:highlight w:val="yellow"/>
                <w:lang w:eastAsia="en-US"/>
              </w:rPr>
            </w:pPr>
            <w:r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C</w:t>
            </w:r>
            <w:r w:rsidR="00545BDF"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irkulační čerpadlo</w:t>
            </w:r>
            <w:r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s průtokem</w:t>
            </w:r>
            <w:r w:rsidR="00545BDF"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min</w:t>
            </w:r>
            <w:r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</w:t>
            </w:r>
            <w:r w:rsidR="00545BDF" w:rsidRPr="00922DD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450 l/min.</w:t>
            </w:r>
          </w:p>
        </w:tc>
        <w:tc>
          <w:tcPr>
            <w:tcW w:w="1057" w:type="dxa"/>
            <w:gridSpan w:val="2"/>
          </w:tcPr>
          <w:p w14:paraId="2800596E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3073A7BB" w14:textId="77777777" w:rsidR="00545BDF" w:rsidRPr="00922DD0" w:rsidRDefault="00545BD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7D5" w:rsidRPr="005A6ACC" w14:paraId="25E2CDB1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17219B74" w14:textId="550E3983" w:rsidR="003F27D5" w:rsidRPr="00922DD0" w:rsidRDefault="003F27D5" w:rsidP="006C22B6">
            <w:pPr>
              <w:spacing w:before="60" w:after="60" w:line="240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Dezinfekce probíhá termicky pomocí páry generované integrovaným parním generátorem</w:t>
            </w:r>
          </w:p>
        </w:tc>
        <w:tc>
          <w:tcPr>
            <w:tcW w:w="1057" w:type="dxa"/>
            <w:gridSpan w:val="2"/>
          </w:tcPr>
          <w:p w14:paraId="7F557CD1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0DA2494D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7FA1" w:rsidRPr="005A6ACC" w14:paraId="203193FC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4207CE7A" w14:textId="5F1CEA43" w:rsidR="00FC7FA1" w:rsidRPr="00922DD0" w:rsidRDefault="003F27D5" w:rsidP="006C22B6">
            <w:pPr>
              <w:spacing w:before="60" w:after="60" w:line="240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Termická dezinfekce při teplotě min. 90°C</w:t>
            </w:r>
          </w:p>
        </w:tc>
        <w:tc>
          <w:tcPr>
            <w:tcW w:w="1057" w:type="dxa"/>
            <w:gridSpan w:val="2"/>
          </w:tcPr>
          <w:p w14:paraId="4088EFFE" w14:textId="77777777" w:rsidR="00FC7FA1" w:rsidRPr="00922DD0" w:rsidRDefault="00FC7FA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06BBCA9" w14:textId="77777777" w:rsidR="00FC7FA1" w:rsidRPr="00922DD0" w:rsidRDefault="00FC7FA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4378" w:rsidRPr="005A6ACC" w14:paraId="55D101E5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160ED77D" w14:textId="2F9893D3" w:rsidR="00F94378" w:rsidRPr="00922DD0" w:rsidRDefault="003F27D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Automatické dávkování chemického změkčovadla do vyvíječe páry</w:t>
            </w:r>
          </w:p>
        </w:tc>
        <w:tc>
          <w:tcPr>
            <w:tcW w:w="1057" w:type="dxa"/>
            <w:gridSpan w:val="2"/>
          </w:tcPr>
          <w:p w14:paraId="526D811E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DFF4A44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4244" w:rsidRPr="005A6ACC" w14:paraId="21F7E8EB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6EE01E1" w14:textId="10DB82DE" w:rsidR="00124244" w:rsidRPr="00922DD0" w:rsidRDefault="00124244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Zařízení vybaveno systémem pro odvod a kondenzaci vodní páry vznikající během mycího a dezinfekčního procesu</w:t>
            </w:r>
          </w:p>
        </w:tc>
        <w:tc>
          <w:tcPr>
            <w:tcW w:w="1057" w:type="dxa"/>
            <w:gridSpan w:val="2"/>
          </w:tcPr>
          <w:p w14:paraId="63CAE7D5" w14:textId="77777777" w:rsidR="00124244" w:rsidRPr="00922DD0" w:rsidRDefault="00124244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7A2CC113" w14:textId="77777777" w:rsidR="00124244" w:rsidRPr="00922DD0" w:rsidRDefault="00124244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4378" w:rsidRPr="005A6ACC" w14:paraId="6E8785DE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039FD000" w14:textId="314D5D7C" w:rsidR="00F94378" w:rsidRPr="00922DD0" w:rsidRDefault="00F94378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Zařízení dosahuje minimální hodnoty A0 = 600</w:t>
            </w:r>
          </w:p>
        </w:tc>
        <w:tc>
          <w:tcPr>
            <w:tcW w:w="1057" w:type="dxa"/>
            <w:gridSpan w:val="2"/>
          </w:tcPr>
          <w:p w14:paraId="24FB4773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56F0CA23" w14:textId="77777777" w:rsidR="00F94378" w:rsidRPr="00922DD0" w:rsidRDefault="00F9437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32286" w:rsidRPr="005A6ACC" w14:paraId="56768B52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79168758" w14:textId="44BBE0B1" w:rsidR="00832286" w:rsidRPr="00922DD0" w:rsidRDefault="000A145F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Zařízení je vybaveno bezpečnostními prvky proti úniku vody a kontaminace</w:t>
            </w:r>
          </w:p>
        </w:tc>
        <w:tc>
          <w:tcPr>
            <w:tcW w:w="1057" w:type="dxa"/>
            <w:gridSpan w:val="2"/>
          </w:tcPr>
          <w:p w14:paraId="705333C0" w14:textId="77777777" w:rsidR="00832286" w:rsidRPr="00922DD0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2F54576" w14:textId="77777777" w:rsidR="00832286" w:rsidRPr="00922DD0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32286" w:rsidRPr="005A6ACC" w14:paraId="3436EC69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18BD285" w14:textId="0A0192E2" w:rsidR="00832286" w:rsidRPr="00922DD0" w:rsidRDefault="0009273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Zařízení obsahuje kombinaci rotačních a pevných trysek</w:t>
            </w:r>
          </w:p>
        </w:tc>
        <w:tc>
          <w:tcPr>
            <w:tcW w:w="1057" w:type="dxa"/>
            <w:gridSpan w:val="2"/>
          </w:tcPr>
          <w:p w14:paraId="7C182290" w14:textId="77777777" w:rsidR="00832286" w:rsidRPr="00922DD0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4F2DDE1" w14:textId="77777777" w:rsidR="00832286" w:rsidRPr="00922DD0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7D5" w:rsidRPr="005A6ACC" w14:paraId="270FC2A2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D282F11" w14:textId="6E67132D" w:rsidR="003F27D5" w:rsidRPr="00922DD0" w:rsidRDefault="003F27D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Příkon min. 7 kW</w:t>
            </w:r>
          </w:p>
        </w:tc>
        <w:tc>
          <w:tcPr>
            <w:tcW w:w="1057" w:type="dxa"/>
            <w:gridSpan w:val="2"/>
          </w:tcPr>
          <w:p w14:paraId="69A289B9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1B8A634A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037" w:rsidRPr="005A6ACC" w14:paraId="715D2543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4AB1CC6" w14:textId="34EBDD84" w:rsidR="00361037" w:rsidRPr="00922DD0" w:rsidRDefault="00E97354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Napojení: teplá voda ½“, studená voda ½“</w:t>
            </w:r>
          </w:p>
        </w:tc>
        <w:tc>
          <w:tcPr>
            <w:tcW w:w="1057" w:type="dxa"/>
            <w:gridSpan w:val="2"/>
          </w:tcPr>
          <w:p w14:paraId="437BC686" w14:textId="77777777" w:rsidR="00361037" w:rsidRPr="00922DD0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7E7BE069" w14:textId="77777777" w:rsidR="00361037" w:rsidRPr="00922DD0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4244" w:rsidRPr="005A6ACC" w14:paraId="6C7C472F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1C72C9E6" w14:textId="7D27AFD1" w:rsidR="00124244" w:rsidRPr="00922DD0" w:rsidRDefault="00124244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Hlučnost – max. 70 dB</w:t>
            </w:r>
          </w:p>
        </w:tc>
        <w:tc>
          <w:tcPr>
            <w:tcW w:w="1057" w:type="dxa"/>
            <w:gridSpan w:val="2"/>
          </w:tcPr>
          <w:p w14:paraId="7AB83DD0" w14:textId="77777777" w:rsidR="00124244" w:rsidRPr="00922DD0" w:rsidRDefault="00124244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09285CC9" w14:textId="77777777" w:rsidR="00124244" w:rsidRPr="00922DD0" w:rsidRDefault="00124244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7D5" w:rsidRPr="005A6ACC" w14:paraId="1C8633CF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7DB3C3C" w14:textId="25601937" w:rsidR="003F27D5" w:rsidRPr="00922DD0" w:rsidRDefault="003F27D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Rozměry zařízení – maximálně: šířka – 70 cm, výška – 170 cm, hloubka – 650 cm</w:t>
            </w:r>
          </w:p>
        </w:tc>
        <w:tc>
          <w:tcPr>
            <w:tcW w:w="1057" w:type="dxa"/>
            <w:gridSpan w:val="2"/>
          </w:tcPr>
          <w:p w14:paraId="10A2A19E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4A1ED961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6CD3" w:rsidRPr="005A6ACC" w14:paraId="4DE36DD5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3394B87D" w14:textId="581D15F2" w:rsidR="00F46CD3" w:rsidRPr="00922DD0" w:rsidRDefault="00F46CD3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Hmotnost zařízení – max. 150 kg</w:t>
            </w:r>
          </w:p>
        </w:tc>
        <w:tc>
          <w:tcPr>
            <w:tcW w:w="1057" w:type="dxa"/>
            <w:gridSpan w:val="2"/>
          </w:tcPr>
          <w:p w14:paraId="6B766288" w14:textId="77777777" w:rsidR="00F46CD3" w:rsidRPr="00922DD0" w:rsidRDefault="00F46CD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37AEF46B" w14:textId="77777777" w:rsidR="00F46CD3" w:rsidRPr="00922DD0" w:rsidRDefault="00F46CD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7D5" w:rsidRPr="005A6ACC" w14:paraId="3CA5CD75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5B17250F" w14:textId="6DE44E5D" w:rsidR="003F27D5" w:rsidRPr="00922DD0" w:rsidRDefault="003F27D5" w:rsidP="006C22B6">
            <w:p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Příslušenství:</w:t>
            </w:r>
          </w:p>
        </w:tc>
        <w:tc>
          <w:tcPr>
            <w:tcW w:w="1057" w:type="dxa"/>
            <w:gridSpan w:val="2"/>
          </w:tcPr>
          <w:p w14:paraId="21F58738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3512FDB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7D5" w:rsidRPr="005A6ACC" w14:paraId="595B50A5" w14:textId="77777777" w:rsidTr="006D0A87">
        <w:trPr>
          <w:gridAfter w:val="1"/>
          <w:wAfter w:w="10" w:type="dxa"/>
        </w:trPr>
        <w:tc>
          <w:tcPr>
            <w:tcW w:w="5416" w:type="dxa"/>
            <w:vAlign w:val="center"/>
          </w:tcPr>
          <w:p w14:paraId="46936AC5" w14:textId="04A1EB94" w:rsidR="003F27D5" w:rsidRPr="00922DD0" w:rsidRDefault="003F27D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22DD0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Stojan na podložní mísy a močové láhve </w:t>
            </w:r>
          </w:p>
        </w:tc>
        <w:tc>
          <w:tcPr>
            <w:tcW w:w="1057" w:type="dxa"/>
            <w:gridSpan w:val="2"/>
          </w:tcPr>
          <w:p w14:paraId="2073EFB8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1AC02BC1" w14:textId="77777777" w:rsidR="003F27D5" w:rsidRPr="00922DD0" w:rsidRDefault="003F27D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46CECCC" w14:textId="77777777" w:rsidR="00124244" w:rsidRDefault="00124244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573DBD1F" w14:textId="77777777" w:rsidR="00124244" w:rsidRDefault="00124244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7D4F8A0" w14:textId="67A54E98" w:rsidR="00E8612C" w:rsidRDefault="00E8612C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3052DE67" w:rsidR="008741A7" w:rsidRPr="00D50818" w:rsidRDefault="00E8612C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741A7" w:rsidRPr="00D50818">
        <w:rPr>
          <w:rFonts w:ascii="Arial" w:hAnsi="Arial" w:cs="Arial"/>
          <w:sz w:val="20"/>
          <w:szCs w:val="20"/>
        </w:rPr>
        <w:t>___________________________</w:t>
      </w:r>
      <w:r w:rsidR="008741A7"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76184625" w14:textId="762AEBCF" w:rsidR="005B1723" w:rsidRPr="00E8612C" w:rsidRDefault="008741A7" w:rsidP="00E8612C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sectPr w:rsidR="005B1723" w:rsidRPr="00E8612C" w:rsidSect="00E8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96A8" w14:textId="77777777" w:rsidR="006628DB" w:rsidRDefault="006628DB" w:rsidP="00E8612C">
      <w:pPr>
        <w:spacing w:after="0" w:line="240" w:lineRule="auto"/>
      </w:pPr>
      <w:r>
        <w:separator/>
      </w:r>
    </w:p>
  </w:endnote>
  <w:endnote w:type="continuationSeparator" w:id="0">
    <w:p w14:paraId="5B9B35CC" w14:textId="77777777" w:rsidR="006628DB" w:rsidRDefault="006628DB" w:rsidP="00E8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80D6" w14:textId="77777777" w:rsidR="006628DB" w:rsidRDefault="006628DB" w:rsidP="00E8612C">
      <w:pPr>
        <w:spacing w:after="0" w:line="240" w:lineRule="auto"/>
      </w:pPr>
      <w:r>
        <w:separator/>
      </w:r>
    </w:p>
  </w:footnote>
  <w:footnote w:type="continuationSeparator" w:id="0">
    <w:p w14:paraId="72041DA1" w14:textId="77777777" w:rsidR="006628DB" w:rsidRDefault="006628DB" w:rsidP="00E8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92736"/>
    <w:rsid w:val="000A145F"/>
    <w:rsid w:val="000B13AE"/>
    <w:rsid w:val="000C177A"/>
    <w:rsid w:val="001053DC"/>
    <w:rsid w:val="00124244"/>
    <w:rsid w:val="00133D3F"/>
    <w:rsid w:val="0018655C"/>
    <w:rsid w:val="0020448F"/>
    <w:rsid w:val="00273F5E"/>
    <w:rsid w:val="002B34AC"/>
    <w:rsid w:val="002C4AAD"/>
    <w:rsid w:val="00322386"/>
    <w:rsid w:val="00361037"/>
    <w:rsid w:val="003F27D5"/>
    <w:rsid w:val="003F2CEE"/>
    <w:rsid w:val="004557F7"/>
    <w:rsid w:val="004624DB"/>
    <w:rsid w:val="0048165E"/>
    <w:rsid w:val="004B4EAD"/>
    <w:rsid w:val="004D4E51"/>
    <w:rsid w:val="00545BDF"/>
    <w:rsid w:val="00564482"/>
    <w:rsid w:val="005B1723"/>
    <w:rsid w:val="006628DB"/>
    <w:rsid w:val="006C22B6"/>
    <w:rsid w:val="006D0A87"/>
    <w:rsid w:val="006D43D4"/>
    <w:rsid w:val="00832286"/>
    <w:rsid w:val="008741A7"/>
    <w:rsid w:val="00882D55"/>
    <w:rsid w:val="008846C6"/>
    <w:rsid w:val="00922DD0"/>
    <w:rsid w:val="00934855"/>
    <w:rsid w:val="009476F7"/>
    <w:rsid w:val="009E6D13"/>
    <w:rsid w:val="00A06198"/>
    <w:rsid w:val="00A3213C"/>
    <w:rsid w:val="00A80EA8"/>
    <w:rsid w:val="00AD331E"/>
    <w:rsid w:val="00B45CD8"/>
    <w:rsid w:val="00C84BDE"/>
    <w:rsid w:val="00D922D3"/>
    <w:rsid w:val="00DF5F1E"/>
    <w:rsid w:val="00E36040"/>
    <w:rsid w:val="00E36C07"/>
    <w:rsid w:val="00E44736"/>
    <w:rsid w:val="00E82593"/>
    <w:rsid w:val="00E8612C"/>
    <w:rsid w:val="00E97354"/>
    <w:rsid w:val="00EC7111"/>
    <w:rsid w:val="00F46CD3"/>
    <w:rsid w:val="00F7196A"/>
    <w:rsid w:val="00F94378"/>
    <w:rsid w:val="00FC7FA1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E861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12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12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3197</Characters>
  <Application>Microsoft Office Word</Application>
  <DocSecurity>0</DocSecurity>
  <Lines>84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3</cp:revision>
  <dcterms:created xsi:type="dcterms:W3CDTF">2026-04-01T07:28:00Z</dcterms:created>
  <dcterms:modified xsi:type="dcterms:W3CDTF">2026-04-01T08:34:00Z</dcterms:modified>
</cp:coreProperties>
</file>