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4C4" w:rsidRPr="00ED3C8E" w:rsidRDefault="005E44C4" w:rsidP="00BB08EA">
      <w:pPr>
        <w:pStyle w:val="Nadpis1"/>
      </w:pPr>
      <w:bookmarkStart w:id="0" w:name="_Toc268865874"/>
      <w:bookmarkStart w:id="1" w:name="_Toc268865939"/>
      <w:bookmarkStart w:id="2" w:name="_Toc268866064"/>
      <w:bookmarkStart w:id="3" w:name="_Toc268866091"/>
      <w:bookmarkStart w:id="4" w:name="_Toc268866295"/>
      <w:bookmarkStart w:id="5" w:name="_Toc268866344"/>
      <w:bookmarkStart w:id="6" w:name="_Toc268866414"/>
      <w:bookmarkStart w:id="7" w:name="_Toc268866551"/>
      <w:bookmarkStart w:id="8" w:name="_Toc268866570"/>
      <w:bookmarkStart w:id="9" w:name="_Toc268866672"/>
      <w:bookmarkStart w:id="10" w:name="_Toc268867501"/>
      <w:bookmarkStart w:id="11" w:name="_Toc268867651"/>
      <w:bookmarkStart w:id="12" w:name="_Toc269383567"/>
      <w:bookmarkStart w:id="13" w:name="_Toc269383800"/>
      <w:bookmarkStart w:id="14" w:name="_Toc269384062"/>
      <w:bookmarkStart w:id="15" w:name="_Toc269384112"/>
      <w:bookmarkStart w:id="16" w:name="_Toc434393469"/>
      <w:r w:rsidRPr="00ED3C8E">
        <w:t>Požadavky na ostatní profese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BB08EA" w:rsidRPr="00ED3C8E">
        <w:rPr>
          <w:szCs w:val="28"/>
        </w:rPr>
        <w:t xml:space="preserve"> </w:t>
      </w:r>
    </w:p>
    <w:p w:rsidR="00B955BB" w:rsidRPr="00BB08EA" w:rsidRDefault="00B955BB" w:rsidP="00977A72">
      <w:pPr>
        <w:jc w:val="center"/>
      </w:pPr>
      <w:r w:rsidRPr="00BB08EA">
        <w:t>Akce</w:t>
      </w:r>
    </w:p>
    <w:p w:rsidR="00B955BB" w:rsidRPr="00BB08EA" w:rsidRDefault="00B955BB" w:rsidP="00977A72">
      <w:pPr>
        <w:jc w:val="center"/>
        <w:rPr>
          <w:snapToGrid w:val="0"/>
        </w:rPr>
      </w:pPr>
      <w:r w:rsidRPr="00ED3C8E">
        <w:rPr>
          <w:snapToGrid w:val="0"/>
        </w:rPr>
        <w:t>„</w:t>
      </w:r>
      <w:r w:rsidR="00ED3C8E" w:rsidRPr="00ED3C8E">
        <w:rPr>
          <w:b/>
          <w:snapToGrid w:val="0"/>
        </w:rPr>
        <w:t>Nemocnice Havířov – gynekologická JIP</w:t>
      </w:r>
      <w:r w:rsidRPr="00ED3C8E">
        <w:rPr>
          <w:snapToGrid w:val="0"/>
        </w:rPr>
        <w:t>“</w:t>
      </w:r>
    </w:p>
    <w:p w:rsidR="00B955BB" w:rsidRPr="00BB08EA" w:rsidRDefault="00B955BB" w:rsidP="00BB08EA">
      <w:pPr>
        <w:pStyle w:val="Nadpis2"/>
      </w:pPr>
      <w:r w:rsidRPr="00BB08EA">
        <w:t>Dodavatel stavební části:</w:t>
      </w:r>
    </w:p>
    <w:p w:rsidR="00B955BB" w:rsidRPr="00BB08EA" w:rsidRDefault="00B955BB" w:rsidP="00BB08EA">
      <w:r w:rsidRPr="00BB08EA">
        <w:t>zajistí:</w:t>
      </w:r>
    </w:p>
    <w:p w:rsidR="00B955BB" w:rsidRPr="000B61F0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BB08EA">
        <w:rPr>
          <w:sz w:val="22"/>
          <w:szCs w:val="22"/>
        </w:rPr>
        <w:t xml:space="preserve">odvětrání podhledů, kterými jsou vedeny medicinální plyny (přirozená cirkulace vzduchu), </w:t>
      </w:r>
      <w:r w:rsidRPr="00BB08EA">
        <w:rPr>
          <w:snapToGrid w:val="0"/>
          <w:sz w:val="22"/>
          <w:szCs w:val="22"/>
        </w:rPr>
        <w:t xml:space="preserve">u pevných (sádrokartonových) podhledů zajistí větrací mřížku </w:t>
      </w:r>
      <w:r w:rsidR="009359DB">
        <w:rPr>
          <w:snapToGrid w:val="0"/>
          <w:sz w:val="22"/>
          <w:szCs w:val="22"/>
        </w:rPr>
        <w:t xml:space="preserve">min. </w:t>
      </w:r>
      <w:r w:rsidRPr="00BB08EA">
        <w:rPr>
          <w:snapToGrid w:val="0"/>
          <w:sz w:val="22"/>
          <w:szCs w:val="22"/>
        </w:rPr>
        <w:t>cca 100</w:t>
      </w:r>
      <w:r w:rsidR="005A6607">
        <w:rPr>
          <w:snapToGrid w:val="0"/>
          <w:sz w:val="22"/>
          <w:szCs w:val="22"/>
        </w:rPr>
        <w:t> </w:t>
      </w:r>
      <w:r w:rsidRPr="00BB08EA">
        <w:rPr>
          <w:snapToGrid w:val="0"/>
          <w:sz w:val="22"/>
          <w:szCs w:val="22"/>
        </w:rPr>
        <w:t>x</w:t>
      </w:r>
      <w:r w:rsidR="005A6607">
        <w:rPr>
          <w:snapToGrid w:val="0"/>
          <w:sz w:val="22"/>
          <w:szCs w:val="22"/>
        </w:rPr>
        <w:t> </w:t>
      </w:r>
      <w:r w:rsidRPr="00BB08EA">
        <w:rPr>
          <w:snapToGrid w:val="0"/>
          <w:sz w:val="22"/>
          <w:szCs w:val="22"/>
        </w:rPr>
        <w:t>100</w:t>
      </w:r>
      <w:r w:rsidR="005A6607">
        <w:rPr>
          <w:snapToGrid w:val="0"/>
          <w:sz w:val="22"/>
          <w:szCs w:val="22"/>
        </w:rPr>
        <w:t> </w:t>
      </w:r>
      <w:r w:rsidRPr="00BB08EA">
        <w:rPr>
          <w:snapToGrid w:val="0"/>
          <w:sz w:val="22"/>
          <w:szCs w:val="22"/>
        </w:rPr>
        <w:t>mm tam, kde je rozvod medicinálních plynů (2x / místnost)</w:t>
      </w:r>
    </w:p>
    <w:p w:rsidR="00B955BB" w:rsidRPr="00BB08EA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BB08EA">
        <w:rPr>
          <w:snapToGrid w:val="0"/>
          <w:sz w:val="22"/>
          <w:szCs w:val="22"/>
        </w:rPr>
        <w:t xml:space="preserve">úpravu sádrokartonových příček pro instalaci </w:t>
      </w:r>
      <w:r w:rsidR="009359DB">
        <w:rPr>
          <w:snapToGrid w:val="0"/>
          <w:sz w:val="22"/>
          <w:szCs w:val="22"/>
        </w:rPr>
        <w:t xml:space="preserve">skříní uzávěrů plynů </w:t>
      </w:r>
      <w:r w:rsidR="009359DB" w:rsidRPr="00BB08EA">
        <w:rPr>
          <w:snapToGrid w:val="0"/>
          <w:sz w:val="22"/>
          <w:szCs w:val="22"/>
        </w:rPr>
        <w:t>(</w:t>
      </w:r>
      <w:r w:rsidR="009359DB">
        <w:rPr>
          <w:snapToGrid w:val="0"/>
          <w:sz w:val="22"/>
          <w:szCs w:val="22"/>
        </w:rPr>
        <w:t>UP</w:t>
      </w:r>
      <w:r w:rsidRPr="00BB08EA">
        <w:rPr>
          <w:snapToGrid w:val="0"/>
          <w:sz w:val="22"/>
          <w:szCs w:val="22"/>
        </w:rPr>
        <w:t>) a technologických prvků</w:t>
      </w:r>
      <w:r w:rsidR="004A1381">
        <w:rPr>
          <w:snapToGrid w:val="0"/>
          <w:sz w:val="22"/>
          <w:szCs w:val="22"/>
        </w:rPr>
        <w:t xml:space="preserve"> (NR-U)</w:t>
      </w:r>
    </w:p>
    <w:p w:rsidR="00B955BB" w:rsidRPr="00BB08EA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BB08EA">
        <w:rPr>
          <w:sz w:val="22"/>
          <w:szCs w:val="22"/>
        </w:rPr>
        <w:t xml:space="preserve">v místě </w:t>
      </w:r>
      <w:r w:rsidR="006658DA">
        <w:rPr>
          <w:sz w:val="22"/>
          <w:szCs w:val="22"/>
        </w:rPr>
        <w:t>instalace nástěnných</w:t>
      </w:r>
      <w:r w:rsidRPr="00BB08EA">
        <w:rPr>
          <w:sz w:val="22"/>
          <w:szCs w:val="22"/>
        </w:rPr>
        <w:t xml:space="preserve"> ramp (</w:t>
      </w:r>
      <w:r w:rsidR="005A6607">
        <w:rPr>
          <w:sz w:val="22"/>
          <w:szCs w:val="22"/>
        </w:rPr>
        <w:t>NR</w:t>
      </w:r>
      <w:r w:rsidRPr="00BB08EA">
        <w:rPr>
          <w:sz w:val="22"/>
          <w:szCs w:val="22"/>
        </w:rPr>
        <w:t xml:space="preserve">) na sádrokartonových příčkách osazení profilů umožňujících kotvení </w:t>
      </w:r>
      <w:r w:rsidR="005A6607">
        <w:rPr>
          <w:sz w:val="22"/>
          <w:szCs w:val="22"/>
        </w:rPr>
        <w:t>NR</w:t>
      </w:r>
      <w:r w:rsidRPr="00BB08EA">
        <w:rPr>
          <w:sz w:val="22"/>
          <w:szCs w:val="22"/>
        </w:rPr>
        <w:t xml:space="preserve"> pomocí kotevních šroubů </w:t>
      </w:r>
    </w:p>
    <w:p w:rsidR="00B955BB" w:rsidRPr="00BB08EA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BB08EA">
        <w:rPr>
          <w:sz w:val="22"/>
          <w:szCs w:val="22"/>
        </w:rPr>
        <w:t>stoupací šachtu pro stoupací potrubí medicinálních plynů prostor šachty musí být odvětrán (větrací mřížky nad podlahou a pod stropem); mezi jednotlivými patry musí být šachta oddělena požárně odolnou konstrukcí, potrubí procházející požárně dělící konstrukcí je uloženo v ocelových chráničkách a utěsněno certifikovanými protipožárními (měkkými nebo tvrdými) ucpávkami</w:t>
      </w:r>
    </w:p>
    <w:p w:rsidR="00B955BB" w:rsidRPr="00BB08EA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BB08EA">
        <w:rPr>
          <w:snapToGrid w:val="0"/>
          <w:sz w:val="22"/>
          <w:szCs w:val="22"/>
        </w:rPr>
        <w:t xml:space="preserve">koordinace řemesel při instalaci </w:t>
      </w:r>
    </w:p>
    <w:p w:rsidR="00B955BB" w:rsidRPr="00BB08EA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BB08EA">
        <w:rPr>
          <w:sz w:val="22"/>
          <w:szCs w:val="22"/>
        </w:rPr>
        <w:t xml:space="preserve">demontáž </w:t>
      </w:r>
      <w:r w:rsidR="00184F55">
        <w:rPr>
          <w:sz w:val="22"/>
          <w:szCs w:val="22"/>
        </w:rPr>
        <w:t xml:space="preserve">SDK stropu v místě napojení na stávající stoupací potrubí </w:t>
      </w:r>
      <w:r w:rsidRPr="00BB08EA">
        <w:rPr>
          <w:sz w:val="22"/>
          <w:szCs w:val="22"/>
        </w:rPr>
        <w:t xml:space="preserve">a následnou </w:t>
      </w:r>
      <w:r w:rsidR="00184F55">
        <w:rPr>
          <w:sz w:val="22"/>
          <w:szCs w:val="22"/>
        </w:rPr>
        <w:t>zpětnou montáž SDK kastlu</w:t>
      </w:r>
      <w:r w:rsidRPr="00BB08EA">
        <w:rPr>
          <w:sz w:val="22"/>
          <w:szCs w:val="22"/>
        </w:rPr>
        <w:t xml:space="preserve"> v místě montáže potrubních rozvodů</w:t>
      </w:r>
    </w:p>
    <w:p w:rsidR="00B955BB" w:rsidRPr="00184F55" w:rsidRDefault="00B955BB" w:rsidP="00184F55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184F55">
        <w:rPr>
          <w:sz w:val="22"/>
          <w:szCs w:val="22"/>
        </w:rPr>
        <w:t>stavební průrazy</w:t>
      </w:r>
      <w:r w:rsidR="00184F55" w:rsidRPr="00184F55">
        <w:rPr>
          <w:sz w:val="22"/>
          <w:szCs w:val="22"/>
        </w:rPr>
        <w:t xml:space="preserve"> (</w:t>
      </w:r>
      <w:r w:rsidRPr="00184F55">
        <w:rPr>
          <w:sz w:val="22"/>
          <w:szCs w:val="22"/>
        </w:rPr>
        <w:t>nosného stropu a stěn</w:t>
      </w:r>
      <w:r w:rsidR="00184F55">
        <w:rPr>
          <w:sz w:val="22"/>
          <w:szCs w:val="22"/>
        </w:rPr>
        <w:t>)</w:t>
      </w:r>
    </w:p>
    <w:p w:rsidR="00B955BB" w:rsidRPr="00BB08EA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BB08EA">
        <w:rPr>
          <w:snapToGrid w:val="0"/>
          <w:sz w:val="22"/>
          <w:szCs w:val="22"/>
        </w:rPr>
        <w:t>drážky pro potrubní rozvody, které budou vedeny pod omítkou</w:t>
      </w:r>
    </w:p>
    <w:p w:rsidR="00B955BB" w:rsidRPr="00BB08EA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BB08EA">
        <w:rPr>
          <w:snapToGrid w:val="0"/>
          <w:sz w:val="22"/>
          <w:szCs w:val="22"/>
        </w:rPr>
        <w:t>zapravení drážek a prostupů po instalaci potrubí</w:t>
      </w:r>
    </w:p>
    <w:p w:rsidR="00B955BB" w:rsidRPr="00BB08EA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BB08EA">
        <w:rPr>
          <w:snapToGrid w:val="0"/>
          <w:sz w:val="22"/>
          <w:szCs w:val="22"/>
        </w:rPr>
        <w:t>odvoz suti po bouracích pracích</w:t>
      </w:r>
    </w:p>
    <w:p w:rsidR="00B955BB" w:rsidRPr="00BB08EA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BB08EA">
        <w:rPr>
          <w:snapToGrid w:val="0"/>
          <w:sz w:val="22"/>
          <w:szCs w:val="22"/>
        </w:rPr>
        <w:t>ostrahu objektu</w:t>
      </w:r>
    </w:p>
    <w:p w:rsidR="00B955BB" w:rsidRPr="003F6EE1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3F6EE1">
        <w:rPr>
          <w:snapToGrid w:val="0"/>
          <w:sz w:val="22"/>
          <w:szCs w:val="22"/>
        </w:rPr>
        <w:t>dodávku protipožárních ucpávek</w:t>
      </w:r>
    </w:p>
    <w:p w:rsidR="00E77D99" w:rsidRPr="003F6EE1" w:rsidRDefault="00E77D99" w:rsidP="00E77D99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3F6EE1">
        <w:rPr>
          <w:sz w:val="22"/>
          <w:szCs w:val="22"/>
        </w:rPr>
        <w:t>zhodnocení požární bezpečnosti budov</w:t>
      </w:r>
    </w:p>
    <w:p w:rsidR="00B955BB" w:rsidRPr="00BB08EA" w:rsidRDefault="00B955BB" w:rsidP="00BB08EA">
      <w:pPr>
        <w:pStyle w:val="Nadpis2"/>
      </w:pPr>
      <w:r w:rsidRPr="00BB08EA">
        <w:t>Rozvody elektroinstalací:</w:t>
      </w:r>
    </w:p>
    <w:p w:rsidR="00B955BB" w:rsidRPr="00BB08EA" w:rsidRDefault="00B955BB" w:rsidP="00BB08EA">
      <w:pPr>
        <w:pStyle w:val="Nadpis3"/>
      </w:pPr>
      <w:r w:rsidRPr="00BB08EA">
        <w:t>Rozvody silnoproudu:</w:t>
      </w:r>
    </w:p>
    <w:p w:rsidR="00B955BB" w:rsidRPr="00BB08EA" w:rsidRDefault="00B955BB" w:rsidP="00BB08EA">
      <w:r w:rsidRPr="00BB08EA">
        <w:t>zajistí:</w:t>
      </w:r>
    </w:p>
    <w:p w:rsidR="00B955BB" w:rsidRPr="00BB08EA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BB08EA">
        <w:rPr>
          <w:snapToGrid w:val="0"/>
          <w:sz w:val="22"/>
          <w:szCs w:val="22"/>
        </w:rPr>
        <w:t>uzemnění rozvodu proti účinkům statické elektřiny</w:t>
      </w:r>
    </w:p>
    <w:p w:rsidR="00B955BB" w:rsidRPr="00ED3C8E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ED3C8E">
        <w:rPr>
          <w:snapToGrid w:val="0"/>
          <w:sz w:val="22"/>
          <w:szCs w:val="22"/>
        </w:rPr>
        <w:t xml:space="preserve">uzemnění skříní </w:t>
      </w:r>
      <w:r w:rsidR="009359DB" w:rsidRPr="00ED3C8E">
        <w:rPr>
          <w:snapToGrid w:val="0"/>
          <w:sz w:val="22"/>
          <w:szCs w:val="22"/>
        </w:rPr>
        <w:t xml:space="preserve">s uzávěry plynů </w:t>
      </w:r>
      <w:r w:rsidRPr="00ED3C8E">
        <w:rPr>
          <w:snapToGrid w:val="0"/>
          <w:sz w:val="22"/>
          <w:szCs w:val="22"/>
        </w:rPr>
        <w:t>(</w:t>
      </w:r>
      <w:r w:rsidR="009359DB" w:rsidRPr="00ED3C8E">
        <w:rPr>
          <w:snapToGrid w:val="0"/>
          <w:sz w:val="22"/>
          <w:szCs w:val="22"/>
        </w:rPr>
        <w:t>UP</w:t>
      </w:r>
      <w:r w:rsidRPr="00ED3C8E">
        <w:rPr>
          <w:snapToGrid w:val="0"/>
          <w:sz w:val="22"/>
          <w:szCs w:val="22"/>
        </w:rPr>
        <w:t>) a instalačních komplexů (</w:t>
      </w:r>
      <w:r w:rsidR="005A6607" w:rsidRPr="00ED3C8E">
        <w:rPr>
          <w:snapToGrid w:val="0"/>
          <w:sz w:val="22"/>
          <w:szCs w:val="22"/>
        </w:rPr>
        <w:t>NR</w:t>
      </w:r>
      <w:r w:rsidRPr="00ED3C8E">
        <w:rPr>
          <w:snapToGrid w:val="0"/>
          <w:sz w:val="22"/>
          <w:szCs w:val="22"/>
        </w:rPr>
        <w:t>) proti účinkům statické elektřiny</w:t>
      </w:r>
    </w:p>
    <w:p w:rsidR="00B955BB" w:rsidRPr="00ED3C8E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  <w:u w:val="single"/>
        </w:rPr>
      </w:pPr>
      <w:r w:rsidRPr="00ED3C8E">
        <w:rPr>
          <w:sz w:val="22"/>
          <w:szCs w:val="22"/>
        </w:rPr>
        <w:t>přívod médií k instalačním komplexům (</w:t>
      </w:r>
      <w:r w:rsidR="00501281" w:rsidRPr="00ED3C8E">
        <w:rPr>
          <w:sz w:val="22"/>
          <w:szCs w:val="22"/>
        </w:rPr>
        <w:t>nástěnné</w:t>
      </w:r>
      <w:r w:rsidRPr="00ED3C8E">
        <w:rPr>
          <w:sz w:val="22"/>
          <w:szCs w:val="22"/>
        </w:rPr>
        <w:t xml:space="preserve"> rampy) dle </w:t>
      </w:r>
      <w:r w:rsidR="00501281" w:rsidRPr="00ED3C8E">
        <w:rPr>
          <w:sz w:val="22"/>
          <w:szCs w:val="22"/>
        </w:rPr>
        <w:t>požadavků nemocnice</w:t>
      </w:r>
    </w:p>
    <w:p w:rsidR="00B955BB" w:rsidRPr="00ED3C8E" w:rsidRDefault="003F6EE1" w:rsidP="00BB08EA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  <w:u w:val="single"/>
        </w:rPr>
      </w:pPr>
      <w:r w:rsidRPr="00ED3C8E">
        <w:rPr>
          <w:sz w:val="22"/>
          <w:szCs w:val="22"/>
        </w:rPr>
        <w:t>přívod pro přímé</w:t>
      </w:r>
      <w:r w:rsidR="00B955BB" w:rsidRPr="00ED3C8E">
        <w:rPr>
          <w:sz w:val="22"/>
          <w:szCs w:val="22"/>
        </w:rPr>
        <w:t xml:space="preserve"> a noční osvětlení </w:t>
      </w:r>
      <w:r w:rsidR="00501281" w:rsidRPr="00ED3C8E">
        <w:rPr>
          <w:sz w:val="22"/>
          <w:szCs w:val="22"/>
        </w:rPr>
        <w:t>nástěnné</w:t>
      </w:r>
      <w:r w:rsidR="00B955BB" w:rsidRPr="00ED3C8E">
        <w:rPr>
          <w:sz w:val="22"/>
          <w:szCs w:val="22"/>
        </w:rPr>
        <w:t xml:space="preserve"> rampy (</w:t>
      </w:r>
      <w:r w:rsidRPr="00ED3C8E">
        <w:rPr>
          <w:sz w:val="22"/>
          <w:szCs w:val="22"/>
        </w:rPr>
        <w:t>noční</w:t>
      </w:r>
      <w:r w:rsidR="00B955BB" w:rsidRPr="00ED3C8E">
        <w:rPr>
          <w:sz w:val="22"/>
          <w:szCs w:val="22"/>
        </w:rPr>
        <w:t xml:space="preserve"> osvětlení ovládané u vstupních dveří</w:t>
      </w:r>
      <w:r w:rsidRPr="00ED3C8E">
        <w:rPr>
          <w:sz w:val="22"/>
          <w:szCs w:val="22"/>
        </w:rPr>
        <w:t>)</w:t>
      </w:r>
    </w:p>
    <w:p w:rsidR="00B955BB" w:rsidRPr="00ED3C8E" w:rsidRDefault="00B955BB" w:rsidP="003F6EE1">
      <w:pPr>
        <w:pStyle w:val="Odstavecseseznamem"/>
        <w:numPr>
          <w:ilvl w:val="0"/>
          <w:numId w:val="7"/>
        </w:numPr>
        <w:rPr>
          <w:snapToGrid w:val="0"/>
          <w:sz w:val="22"/>
          <w:szCs w:val="22"/>
        </w:rPr>
      </w:pPr>
      <w:r w:rsidRPr="00ED3C8E">
        <w:rPr>
          <w:snapToGrid w:val="0"/>
          <w:sz w:val="22"/>
          <w:szCs w:val="22"/>
        </w:rPr>
        <w:t>přívod 230 V napájených z DO k vyhodnocovací skříni signalizačního panelu klinické signalizace (S</w:t>
      </w:r>
      <w:r w:rsidR="009359DB" w:rsidRPr="00ED3C8E">
        <w:rPr>
          <w:snapToGrid w:val="0"/>
          <w:sz w:val="22"/>
          <w:szCs w:val="22"/>
        </w:rPr>
        <w:t>T</w:t>
      </w:r>
      <w:r w:rsidRPr="00ED3C8E">
        <w:rPr>
          <w:snapToGrid w:val="0"/>
          <w:sz w:val="22"/>
          <w:szCs w:val="22"/>
        </w:rPr>
        <w:t xml:space="preserve">P) do výšky 1700 mm </w:t>
      </w:r>
      <w:r w:rsidR="003F6EE1" w:rsidRPr="00ED3C8E">
        <w:rPr>
          <w:snapToGrid w:val="0"/>
          <w:sz w:val="22"/>
          <w:szCs w:val="22"/>
        </w:rPr>
        <w:t>(ukončit v </w:t>
      </w:r>
      <w:proofErr w:type="spellStart"/>
      <w:r w:rsidR="003F6EE1" w:rsidRPr="00ED3C8E">
        <w:rPr>
          <w:snapToGrid w:val="0"/>
          <w:sz w:val="22"/>
          <w:szCs w:val="22"/>
        </w:rPr>
        <w:t>elektrokrabičce</w:t>
      </w:r>
      <w:proofErr w:type="spellEnd"/>
      <w:r w:rsidR="003F6EE1" w:rsidRPr="00ED3C8E">
        <w:rPr>
          <w:snapToGrid w:val="0"/>
          <w:sz w:val="22"/>
          <w:szCs w:val="22"/>
        </w:rPr>
        <w:t xml:space="preserve"> KPL 64)</w:t>
      </w:r>
      <w:r w:rsidRPr="00ED3C8E">
        <w:rPr>
          <w:snapToGrid w:val="0"/>
          <w:sz w:val="22"/>
          <w:szCs w:val="22"/>
        </w:rPr>
        <w:t xml:space="preserve"> </w:t>
      </w:r>
    </w:p>
    <w:p w:rsidR="00B955BB" w:rsidRPr="00BB08EA" w:rsidRDefault="00B955BB" w:rsidP="00BB08EA">
      <w:pPr>
        <w:pStyle w:val="Nadpis3"/>
        <w:rPr>
          <w:snapToGrid w:val="0"/>
        </w:rPr>
      </w:pPr>
      <w:r w:rsidRPr="00BB08EA">
        <w:rPr>
          <w:snapToGrid w:val="0"/>
        </w:rPr>
        <w:t>Rozvody slaboproudu:</w:t>
      </w:r>
    </w:p>
    <w:p w:rsidR="00B955BB" w:rsidRPr="00BB08EA" w:rsidRDefault="00B955BB" w:rsidP="00977A72">
      <w:r w:rsidRPr="00BB08EA">
        <w:t>zajistí:</w:t>
      </w:r>
    </w:p>
    <w:p w:rsidR="00B955BB" w:rsidRPr="00ED3C8E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  <w:u w:val="single"/>
        </w:rPr>
      </w:pPr>
      <w:r w:rsidRPr="00ED3C8E">
        <w:rPr>
          <w:sz w:val="22"/>
          <w:szCs w:val="22"/>
        </w:rPr>
        <w:t xml:space="preserve">přívod a </w:t>
      </w:r>
      <w:proofErr w:type="spellStart"/>
      <w:r w:rsidRPr="00ED3C8E">
        <w:rPr>
          <w:sz w:val="22"/>
          <w:szCs w:val="22"/>
        </w:rPr>
        <w:t>dopojení</w:t>
      </w:r>
      <w:proofErr w:type="spellEnd"/>
      <w:r w:rsidRPr="00ED3C8E">
        <w:rPr>
          <w:sz w:val="22"/>
          <w:szCs w:val="22"/>
        </w:rPr>
        <w:t xml:space="preserve"> médií k instalačním komplexům (</w:t>
      </w:r>
      <w:r w:rsidR="00501281" w:rsidRPr="00ED3C8E">
        <w:rPr>
          <w:sz w:val="22"/>
          <w:szCs w:val="22"/>
        </w:rPr>
        <w:t>nástěnné</w:t>
      </w:r>
      <w:r w:rsidRPr="00ED3C8E">
        <w:rPr>
          <w:sz w:val="22"/>
          <w:szCs w:val="22"/>
        </w:rPr>
        <w:t xml:space="preserve"> rampy) dle </w:t>
      </w:r>
      <w:r w:rsidR="00501281" w:rsidRPr="00ED3C8E">
        <w:rPr>
          <w:sz w:val="22"/>
          <w:szCs w:val="22"/>
        </w:rPr>
        <w:t>požadavků nemocnice</w:t>
      </w:r>
    </w:p>
    <w:p w:rsidR="00B955BB" w:rsidRPr="00ED3C8E" w:rsidRDefault="00B955BB" w:rsidP="00BB08EA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ED3C8E">
        <w:rPr>
          <w:sz w:val="22"/>
          <w:szCs w:val="22"/>
        </w:rPr>
        <w:lastRenderedPageBreak/>
        <w:t>propojení snímačů tlaku se signalizačním panelem klinického nouzového alarmu S</w:t>
      </w:r>
      <w:r w:rsidR="009359DB" w:rsidRPr="00ED3C8E">
        <w:rPr>
          <w:sz w:val="22"/>
          <w:szCs w:val="22"/>
        </w:rPr>
        <w:t>T</w:t>
      </w:r>
      <w:r w:rsidRPr="00ED3C8E">
        <w:rPr>
          <w:sz w:val="22"/>
          <w:szCs w:val="22"/>
        </w:rPr>
        <w:t xml:space="preserve">P  (umístěném v místnosti </w:t>
      </w:r>
      <w:proofErr w:type="gramStart"/>
      <w:r w:rsidRPr="00ED3C8E">
        <w:rPr>
          <w:sz w:val="22"/>
          <w:szCs w:val="22"/>
        </w:rPr>
        <w:t>č.</w:t>
      </w:r>
      <w:r w:rsidR="00ED3C8E" w:rsidRPr="00ED3C8E">
        <w:rPr>
          <w:sz w:val="22"/>
          <w:szCs w:val="22"/>
        </w:rPr>
        <w:t>305</w:t>
      </w:r>
      <w:proofErr w:type="gramEnd"/>
      <w:r w:rsidRPr="00ED3C8E">
        <w:rPr>
          <w:sz w:val="22"/>
          <w:szCs w:val="22"/>
        </w:rPr>
        <w:t xml:space="preserve"> – </w:t>
      </w:r>
      <w:r w:rsidR="00ED3C8E" w:rsidRPr="00ED3C8E">
        <w:rPr>
          <w:sz w:val="22"/>
          <w:szCs w:val="22"/>
        </w:rPr>
        <w:t>pracovna</w:t>
      </w:r>
      <w:r w:rsidRPr="00ED3C8E">
        <w:rPr>
          <w:sz w:val="22"/>
          <w:szCs w:val="22"/>
        </w:rPr>
        <w:t>) pomocí el. kabelů (typ SYKFY 2x2x0,5). Snímače tlaku jsou umístěny ve</w:t>
      </w:r>
      <w:r w:rsidR="00ED3C8E">
        <w:rPr>
          <w:sz w:val="22"/>
          <w:szCs w:val="22"/>
        </w:rPr>
        <w:t> </w:t>
      </w:r>
      <w:r w:rsidRPr="00ED3C8E">
        <w:rPr>
          <w:sz w:val="22"/>
          <w:szCs w:val="22"/>
        </w:rPr>
        <w:t xml:space="preserve">skříních </w:t>
      </w:r>
      <w:r w:rsidR="009359DB" w:rsidRPr="00ED3C8E">
        <w:rPr>
          <w:sz w:val="22"/>
          <w:szCs w:val="22"/>
        </w:rPr>
        <w:t>UP</w:t>
      </w:r>
      <w:r w:rsidRPr="00ED3C8E">
        <w:rPr>
          <w:sz w:val="22"/>
          <w:szCs w:val="22"/>
        </w:rPr>
        <w:t xml:space="preserve"> před sledovaným pracovištěm.</w:t>
      </w:r>
    </w:p>
    <w:p w:rsidR="00B955BB" w:rsidRPr="00BB08EA" w:rsidRDefault="00B955BB" w:rsidP="00BB08EA">
      <w:pPr>
        <w:ind w:left="567" w:hanging="567"/>
        <w:rPr>
          <w:snapToGrid w:val="0"/>
          <w:sz w:val="22"/>
          <w:szCs w:val="22"/>
        </w:rPr>
      </w:pPr>
    </w:p>
    <w:p w:rsidR="00B955BB" w:rsidRPr="00ED3C8E" w:rsidRDefault="00B955BB" w:rsidP="00BB08EA">
      <w:pPr>
        <w:rPr>
          <w:snapToGrid w:val="0"/>
          <w:sz w:val="20"/>
        </w:rPr>
      </w:pPr>
      <w:r w:rsidRPr="00ED3C8E">
        <w:rPr>
          <w:snapToGrid w:val="0"/>
          <w:sz w:val="20"/>
        </w:rPr>
        <w:t xml:space="preserve">Pozn.: </w:t>
      </w:r>
    </w:p>
    <w:p w:rsidR="00B955BB" w:rsidRPr="00ED3C8E" w:rsidRDefault="00B955BB" w:rsidP="00BB08EA">
      <w:pPr>
        <w:rPr>
          <w:snapToGrid w:val="0"/>
          <w:sz w:val="20"/>
        </w:rPr>
      </w:pPr>
      <w:r w:rsidRPr="00ED3C8E">
        <w:rPr>
          <w:snapToGrid w:val="0"/>
          <w:sz w:val="20"/>
        </w:rPr>
        <w:t>Přívodní svorkovnice technologických prvků není možné používat k rozbočování (smyčkování) vedení elektroinstalací!</w:t>
      </w:r>
    </w:p>
    <w:p w:rsidR="00B955BB" w:rsidRPr="00ED3C8E" w:rsidRDefault="00B955BB" w:rsidP="00BB08EA">
      <w:pPr>
        <w:ind w:left="567" w:hanging="567"/>
        <w:rPr>
          <w:snapToGrid w:val="0"/>
          <w:sz w:val="18"/>
          <w:szCs w:val="22"/>
        </w:rPr>
      </w:pPr>
    </w:p>
    <w:p w:rsidR="00B955BB" w:rsidRPr="00ED3C8E" w:rsidRDefault="00B955BB" w:rsidP="00BB08EA">
      <w:pPr>
        <w:rPr>
          <w:snapToGrid w:val="0"/>
          <w:sz w:val="20"/>
        </w:rPr>
      </w:pPr>
      <w:r w:rsidRPr="00ED3C8E">
        <w:rPr>
          <w:snapToGrid w:val="0"/>
          <w:sz w:val="20"/>
        </w:rPr>
        <w:t xml:space="preserve">Pozn.: </w:t>
      </w:r>
    </w:p>
    <w:p w:rsidR="00B955BB" w:rsidRPr="00ED3C8E" w:rsidRDefault="00B955BB" w:rsidP="00BB08EA">
      <w:pPr>
        <w:rPr>
          <w:snapToGrid w:val="0"/>
          <w:sz w:val="20"/>
        </w:rPr>
      </w:pPr>
      <w:r w:rsidRPr="00ED3C8E">
        <w:rPr>
          <w:snapToGrid w:val="0"/>
          <w:sz w:val="20"/>
        </w:rPr>
        <w:t>Všechny snímače tlaku jsou rozsahu 4÷20 mA.</w:t>
      </w:r>
    </w:p>
    <w:p w:rsidR="00B955BB" w:rsidRDefault="00B955BB" w:rsidP="00BB08EA">
      <w:pPr>
        <w:rPr>
          <w:snapToGrid w:val="0"/>
        </w:rPr>
      </w:pPr>
    </w:p>
    <w:p w:rsidR="00ED3C8E" w:rsidRPr="00BB08EA" w:rsidRDefault="00ED3C8E" w:rsidP="00BB08EA">
      <w:pPr>
        <w:rPr>
          <w:snapToGrid w:val="0"/>
        </w:rPr>
      </w:pPr>
      <w:bookmarkStart w:id="17" w:name="_GoBack"/>
      <w:bookmarkEnd w:id="17"/>
    </w:p>
    <w:p w:rsidR="00B955BB" w:rsidRDefault="00B955BB" w:rsidP="00BB08EA">
      <w:pPr>
        <w:ind w:left="567" w:hanging="567"/>
        <w:rPr>
          <w:snapToGrid w:val="0"/>
          <w:sz w:val="22"/>
          <w:szCs w:val="22"/>
        </w:rPr>
      </w:pPr>
    </w:p>
    <w:p w:rsidR="00ED3C8E" w:rsidRPr="00BB08EA" w:rsidRDefault="00ED3C8E" w:rsidP="00BB08EA">
      <w:pPr>
        <w:ind w:left="567" w:hanging="567"/>
        <w:rPr>
          <w:snapToGrid w:val="0"/>
          <w:sz w:val="22"/>
          <w:szCs w:val="22"/>
        </w:rPr>
      </w:pPr>
    </w:p>
    <w:p w:rsidR="00B955BB" w:rsidRPr="00ED3C8E" w:rsidRDefault="00B955BB" w:rsidP="00ED3C8E">
      <w:pPr>
        <w:jc w:val="right"/>
        <w:rPr>
          <w:snapToGrid w:val="0"/>
        </w:rPr>
      </w:pPr>
      <w:r w:rsidRPr="00ED3C8E">
        <w:rPr>
          <w:snapToGrid w:val="0"/>
        </w:rPr>
        <w:t xml:space="preserve">V Poličce dne </w:t>
      </w:r>
      <w:proofErr w:type="gramStart"/>
      <w:r w:rsidR="00ED3C8E" w:rsidRPr="00ED3C8E">
        <w:rPr>
          <w:snapToGrid w:val="0"/>
        </w:rPr>
        <w:t>31</w:t>
      </w:r>
      <w:r w:rsidRPr="00ED3C8E">
        <w:rPr>
          <w:snapToGrid w:val="0"/>
        </w:rPr>
        <w:t>.</w:t>
      </w:r>
      <w:r w:rsidR="00ED3C8E" w:rsidRPr="00ED3C8E">
        <w:rPr>
          <w:snapToGrid w:val="0"/>
        </w:rPr>
        <w:t>10</w:t>
      </w:r>
      <w:r w:rsidRPr="00ED3C8E">
        <w:rPr>
          <w:snapToGrid w:val="0"/>
        </w:rPr>
        <w:t>.20</w:t>
      </w:r>
      <w:r w:rsidR="00E77D99" w:rsidRPr="00ED3C8E">
        <w:rPr>
          <w:snapToGrid w:val="0"/>
        </w:rPr>
        <w:t>2</w:t>
      </w:r>
      <w:r w:rsidR="00ED3C8E" w:rsidRPr="00ED3C8E">
        <w:rPr>
          <w:snapToGrid w:val="0"/>
        </w:rPr>
        <w:t>3</w:t>
      </w:r>
      <w:proofErr w:type="gramEnd"/>
    </w:p>
    <w:p w:rsidR="00BC5D26" w:rsidRPr="00BB08EA" w:rsidRDefault="00B955BB" w:rsidP="00ED3C8E">
      <w:pPr>
        <w:jc w:val="right"/>
      </w:pPr>
      <w:r w:rsidRPr="00ED3C8E">
        <w:rPr>
          <w:snapToGrid w:val="0"/>
        </w:rPr>
        <w:t xml:space="preserve">Vypracoval: Ing. </w:t>
      </w:r>
      <w:r w:rsidR="005A6607" w:rsidRPr="00ED3C8E">
        <w:rPr>
          <w:snapToGrid w:val="0"/>
        </w:rPr>
        <w:t>Milan Víšek</w:t>
      </w:r>
    </w:p>
    <w:sectPr w:rsidR="00BC5D26" w:rsidRPr="00BB08EA" w:rsidSect="00977A72">
      <w:pgSz w:w="11906" w:h="16838"/>
      <w:pgMar w:top="1247" w:right="85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A5A8C"/>
    <w:multiLevelType w:val="hybridMultilevel"/>
    <w:tmpl w:val="05E44C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44CB7"/>
    <w:multiLevelType w:val="hybridMultilevel"/>
    <w:tmpl w:val="D1A40B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C3C31"/>
    <w:multiLevelType w:val="hybridMultilevel"/>
    <w:tmpl w:val="80F819B8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4" w15:restartNumberingAfterBreak="0">
    <w:nsid w:val="3866505E"/>
    <w:multiLevelType w:val="multilevel"/>
    <w:tmpl w:val="9236A20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4671A"/>
    <w:multiLevelType w:val="hybridMultilevel"/>
    <w:tmpl w:val="C0CA78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1BA"/>
    <w:rsid w:val="00022966"/>
    <w:rsid w:val="000B58DF"/>
    <w:rsid w:val="000B61F0"/>
    <w:rsid w:val="00112022"/>
    <w:rsid w:val="00184F55"/>
    <w:rsid w:val="00201804"/>
    <w:rsid w:val="0021225D"/>
    <w:rsid w:val="003F6EE1"/>
    <w:rsid w:val="00421792"/>
    <w:rsid w:val="004A1381"/>
    <w:rsid w:val="00501281"/>
    <w:rsid w:val="00581A42"/>
    <w:rsid w:val="005A6607"/>
    <w:rsid w:val="005E44C4"/>
    <w:rsid w:val="006420AE"/>
    <w:rsid w:val="006658DA"/>
    <w:rsid w:val="006A41BA"/>
    <w:rsid w:val="009326B7"/>
    <w:rsid w:val="009359DB"/>
    <w:rsid w:val="00955DE6"/>
    <w:rsid w:val="00977A72"/>
    <w:rsid w:val="00A9567B"/>
    <w:rsid w:val="00AC52E5"/>
    <w:rsid w:val="00B955BB"/>
    <w:rsid w:val="00BB08EA"/>
    <w:rsid w:val="00BC5D26"/>
    <w:rsid w:val="00DC2BC4"/>
    <w:rsid w:val="00E77D99"/>
    <w:rsid w:val="00ED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521E7-D6CF-4DD7-9E8A-4ACD697ED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44C4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E44C4"/>
    <w:pPr>
      <w:keepNext/>
      <w:numPr>
        <w:numId w:val="1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ind w:left="709" w:hanging="709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5E44C4"/>
    <w:pPr>
      <w:keepNext/>
      <w:numPr>
        <w:ilvl w:val="1"/>
        <w:numId w:val="1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5E44C4"/>
    <w:pPr>
      <w:keepNext/>
      <w:numPr>
        <w:ilvl w:val="2"/>
        <w:numId w:val="1"/>
      </w:numPr>
      <w:tabs>
        <w:tab w:val="left" w:pos="709"/>
      </w:tabs>
      <w:autoSpaceDE w:val="0"/>
      <w:autoSpaceDN w:val="0"/>
      <w:adjustRightInd w:val="0"/>
      <w:spacing w:before="360" w:after="200"/>
      <w:ind w:left="709" w:hanging="709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5E44C4"/>
    <w:pPr>
      <w:keepNext/>
      <w:numPr>
        <w:ilvl w:val="3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5E44C4"/>
    <w:pPr>
      <w:keepNext/>
      <w:numPr>
        <w:ilvl w:val="4"/>
        <w:numId w:val="1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5E44C4"/>
    <w:pPr>
      <w:keepNext/>
      <w:numPr>
        <w:ilvl w:val="5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5E44C4"/>
    <w:pPr>
      <w:keepNext/>
      <w:numPr>
        <w:ilvl w:val="6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5E44C4"/>
    <w:pPr>
      <w:keepNext/>
      <w:numPr>
        <w:ilvl w:val="7"/>
        <w:numId w:val="1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5E44C4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E44C4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5E44C4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E44C4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5E44C4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5E44C4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5E44C4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5E44C4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5E44C4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5E44C4"/>
    <w:rPr>
      <w:rFonts w:ascii="Cambria" w:eastAsia="Times New Roman" w:hAnsi="Cambria" w:cs="Times New Roman"/>
      <w:sz w:val="24"/>
      <w:lang w:eastAsia="cs-CZ"/>
    </w:rPr>
  </w:style>
  <w:style w:type="paragraph" w:styleId="Odstavecseseznamem">
    <w:name w:val="List Paragraph"/>
    <w:basedOn w:val="Normln"/>
    <w:uiPriority w:val="34"/>
    <w:qFormat/>
    <w:rsid w:val="00BB0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3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Ing. VÍŠEK Milan, Flídr medical s.r.o.</cp:lastModifiedBy>
  <cp:revision>5</cp:revision>
  <dcterms:created xsi:type="dcterms:W3CDTF">2022-06-22T12:05:00Z</dcterms:created>
  <dcterms:modified xsi:type="dcterms:W3CDTF">2023-10-31T09:43:00Z</dcterms:modified>
</cp:coreProperties>
</file>