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1F16D8" w14:textId="77777777" w:rsidR="003F357D" w:rsidRPr="003F357D" w:rsidRDefault="003F357D" w:rsidP="006B4EB9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 w:rsidRPr="003F357D">
        <w:rPr>
          <w:rFonts w:ascii="Calibri" w:hAnsi="Calibri" w:cs="Calibri"/>
          <w:b/>
          <w:sz w:val="32"/>
          <w:szCs w:val="32"/>
        </w:rPr>
        <w:t>Požadavky na zabezpečení modalit (zdravotnické techniky) v oblasti kybernetické bezpečnosti</w:t>
      </w:r>
    </w:p>
    <w:p w14:paraId="65BC0022" w14:textId="77777777" w:rsidR="003F357D" w:rsidRPr="003F357D" w:rsidRDefault="003F357D" w:rsidP="006B4EB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(dodavatelem je pro účely této přílohy myšlen Prodávající či Zhotovitel uvedený ve Smlouvě) bere na vědomí, že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 bude rozhodnutím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 je tedy současně i správcem a provozovatelem informačního systému základní služby, dle § 3 písm. f) zákona č. 181/2014 Sb., o kybernetické bezpečnosti a o změně souvisejících zákonů. Z výše uvedeného vyplývá, že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„vyhláška o kybernetické bezpečnosti“).</w:t>
      </w:r>
    </w:p>
    <w:p w14:paraId="785E03DF" w14:textId="77777777" w:rsidR="003F357D" w:rsidRPr="003F357D" w:rsidRDefault="003F357D" w:rsidP="006B4EB9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95112408"/>
      <w:r w:rsidRPr="003F357D">
        <w:rPr>
          <w:rFonts w:ascii="Calibri" w:hAnsi="Calibri" w:cs="Calibri"/>
          <w:sz w:val="22"/>
          <w:szCs w:val="22"/>
        </w:rPr>
        <w:t xml:space="preserve">Jelikož zdravotnická technika je nedílnou součástí zajišťování poskytování základní služby Nemocnice Třinec a zároveň vstupuje jako podpůrné aktivum podle § 2 písm. f) vyhlášky o kybernetické bezpečnosti do rozsahu systému řízení bezpečnostní informací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., bude dodavatel povinen za tímto účelem poskytnout dostatečnou součinnost při plnění požadavků v oblasti kybernetické bezpečnosti. </w:t>
      </w:r>
      <w:bookmarkEnd w:id="0"/>
      <w:r w:rsidRPr="003F357D">
        <w:rPr>
          <w:rFonts w:ascii="Calibri" w:hAnsi="Calibri" w:cs="Calibri"/>
          <w:sz w:val="22"/>
          <w:szCs w:val="22"/>
        </w:rPr>
        <w:t>Jedná se zejména o níže uvedené provozně technické požadavky na zdravotnickou techniku:</w:t>
      </w:r>
    </w:p>
    <w:p w14:paraId="49C774F4" w14:textId="77777777" w:rsidR="003F357D" w:rsidRP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357D">
        <w:rPr>
          <w:rFonts w:ascii="Calibri" w:hAnsi="Calibri" w:cs="Calibri"/>
          <w:b/>
          <w:sz w:val="22"/>
          <w:szCs w:val="22"/>
          <w:u w:val="single"/>
        </w:rPr>
        <w:t>Pokud je součástí předmětu plnění samostatná zdravotnická technologie:</w:t>
      </w:r>
    </w:p>
    <w:p w14:paraId="03DE80B2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 xml:space="preserve">Aktualizace SW vybavení </w:t>
      </w:r>
    </w:p>
    <w:p w14:paraId="09FBEE28" w14:textId="0AAFB542" w:rsidR="003F357D" w:rsidRPr="003F357D" w:rsidRDefault="003F357D" w:rsidP="00A75C89">
      <w:pPr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je povinen udržovat software vybavení včetně operačního systému v aktuální </w:t>
      </w:r>
      <w:r w:rsidR="00A75C89">
        <w:rPr>
          <w:rFonts w:ascii="Calibri" w:hAnsi="Calibri" w:cs="Calibri"/>
          <w:sz w:val="22"/>
          <w:szCs w:val="22"/>
        </w:rPr>
        <w:t xml:space="preserve">podporované </w:t>
      </w:r>
      <w:r w:rsidRPr="003F357D">
        <w:rPr>
          <w:rFonts w:ascii="Calibri" w:hAnsi="Calibri" w:cs="Calibri"/>
          <w:sz w:val="22"/>
          <w:szCs w:val="22"/>
        </w:rPr>
        <w:t xml:space="preserve">verzi a provádět instalace bezpečnostních patchů doporučených výrobcem software vybavení. Dodavatel je povinen informovat Nemocnici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o zjištění zranitelností a spolupracovat při jejich řízení.</w:t>
      </w:r>
    </w:p>
    <w:p w14:paraId="20EC1E91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Přístupová oprávnění</w:t>
      </w:r>
    </w:p>
    <w:p w14:paraId="1D5D76B2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Systém musí umožnit řízení přístupových oprávnění a oddělení administrátorského a uživatelských účtů. Administrátorský účet nesmí umožnit přístup k osobním údajům pacientů. V případě, že by pro servis zdravotnické techniky byl nutný přístup k osobním údajům pacientů, musí být s dodavatelem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3F357D">
        <w:rPr>
          <w:rFonts w:ascii="Calibri" w:hAnsi="Calibri" w:cs="Calibri"/>
          <w:noProof/>
          <w:sz w:val="22"/>
          <w:szCs w:val="22"/>
        </w:rPr>
        <w:t>jen „</w:t>
      </w:r>
      <w:r w:rsidRPr="003F357D">
        <w:rPr>
          <w:rFonts w:ascii="Calibri" w:hAnsi="Calibri" w:cs="Calibri"/>
          <w:b/>
          <w:sz w:val="22"/>
          <w:szCs w:val="22"/>
        </w:rPr>
        <w:t>GDPR</w:t>
      </w:r>
      <w:r w:rsidRPr="003F357D">
        <w:rPr>
          <w:rFonts w:ascii="Calibri" w:hAnsi="Calibri" w:cs="Calibri"/>
          <w:noProof/>
          <w:sz w:val="22"/>
          <w:szCs w:val="22"/>
        </w:rPr>
        <w:t>“)</w:t>
      </w:r>
      <w:r w:rsidRPr="003F357D">
        <w:rPr>
          <w:rFonts w:ascii="Calibri" w:hAnsi="Calibri" w:cs="Calibri"/>
          <w:sz w:val="22"/>
          <w:szCs w:val="22"/>
        </w:rPr>
        <w:t xml:space="preserve">a zákona č. 110/2019 Sb. o zpracování osobních údajů, ve znění pozdějších předpisů (dále </w:t>
      </w:r>
      <w:r w:rsidRPr="003F357D">
        <w:rPr>
          <w:rFonts w:ascii="Calibri" w:hAnsi="Calibri" w:cs="Calibri"/>
          <w:noProof/>
          <w:sz w:val="22"/>
          <w:szCs w:val="22"/>
        </w:rPr>
        <w:t>jen „</w:t>
      </w:r>
      <w:r w:rsidRPr="003F357D">
        <w:rPr>
          <w:rFonts w:ascii="Calibri" w:hAnsi="Calibri" w:cs="Calibri"/>
          <w:b/>
          <w:sz w:val="22"/>
          <w:szCs w:val="22"/>
        </w:rPr>
        <w:t>zákon o zpracování osobních údajů</w:t>
      </w:r>
      <w:r w:rsidRPr="003F357D">
        <w:rPr>
          <w:rFonts w:ascii="Calibri" w:hAnsi="Calibri" w:cs="Calibri"/>
          <w:noProof/>
          <w:sz w:val="22"/>
          <w:szCs w:val="22"/>
        </w:rPr>
        <w:t>“)</w:t>
      </w:r>
      <w:r w:rsidRPr="003F357D">
        <w:rPr>
          <w:rFonts w:ascii="Calibri" w:hAnsi="Calibri" w:cs="Calibri"/>
          <w:sz w:val="22"/>
          <w:szCs w:val="22"/>
        </w:rPr>
        <w:t>.</w:t>
      </w:r>
    </w:p>
    <w:p w14:paraId="259F5239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Logování</w:t>
      </w:r>
    </w:p>
    <w:p w14:paraId="6C221A17" w14:textId="77777777" w:rsidR="003F357D" w:rsidRPr="003F357D" w:rsidRDefault="003F357D" w:rsidP="003F357D">
      <w:pPr>
        <w:spacing w:after="120"/>
        <w:ind w:left="425"/>
        <w:jc w:val="both"/>
        <w:rPr>
          <w:rFonts w:ascii="Calibri" w:hAnsi="Calibri" w:cs="Calibri"/>
          <w:b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je povinen logovat veškeré přístupy ke zdravotnické technice, technická data zdravotnické techniky, která jsou nutná pro dohled a servis a logy uchovávat po dobu 3 měsíců. Logy musí být přístupné přes standardní rozhraní určeným pracovníkům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Dodavatel nesmí ukládat logy, které obsahují osobní údaje, tyto logy je povinen mazat.</w:t>
      </w:r>
    </w:p>
    <w:p w14:paraId="734FC5D6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Šifrování dat</w:t>
      </w:r>
    </w:p>
    <w:p w14:paraId="566588B8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103ADCEE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lastRenderedPageBreak/>
        <w:t>Ukládání konfigurace</w:t>
      </w:r>
    </w:p>
    <w:p w14:paraId="3D3A4105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>Dodavatel je povinen ukládat (zálohovat) kompletní software vybavení zdravotnické techniky v pravidelných intervalech a uchovávat 3 předchozí verze konfigurace nastavení.</w:t>
      </w:r>
    </w:p>
    <w:p w14:paraId="7EDD3D3F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Servisní počítače a vzdálený servisní přístup</w:t>
      </w:r>
    </w:p>
    <w:p w14:paraId="08839153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>K servisním zásahům nebo kontrole zdravotnické techniky smí dodavatel používat pouze servisní počítač, který je vybaven antivirovým programem s aktuální virovou databází a s výrobcem podporovaným operačním systémem.</w:t>
      </w:r>
    </w:p>
    <w:p w14:paraId="3A6AE54F" w14:textId="2DCA750C" w:rsid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V případě, že dodavatel bude provádět servisní zásahy nebo kontrolu zdravotnické techniky z prostředí mimo interní síť Nemocnicí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., musí používat zabezpečený VPN kanál, který bude zřízen Nemocnicí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 na základě Smlouvy o vzdáleném přístupu, kterou je dodavatel s Nemocnicí </w:t>
      </w:r>
      <w:r w:rsidR="00035094">
        <w:rPr>
          <w:rFonts w:ascii="Calibri" w:hAnsi="Calibri" w:cs="Calibri"/>
          <w:sz w:val="22"/>
          <w:szCs w:val="22"/>
        </w:rPr>
        <w:t xml:space="preserve">povinen </w:t>
      </w:r>
      <w:r w:rsidRPr="003F357D">
        <w:rPr>
          <w:rFonts w:ascii="Calibri" w:hAnsi="Calibri" w:cs="Calibri"/>
          <w:sz w:val="22"/>
          <w:szCs w:val="22"/>
        </w:rPr>
        <w:t>uzavřít a   pouze na základě požadavku osoby k tomuto požadavku oprávněné.</w:t>
      </w:r>
      <w:r w:rsidR="00330217">
        <w:rPr>
          <w:rFonts w:ascii="Calibri" w:hAnsi="Calibri" w:cs="Calibri"/>
          <w:sz w:val="22"/>
          <w:szCs w:val="22"/>
        </w:rPr>
        <w:t xml:space="preserve"> VZOR smlouvy je součástí VZ.</w:t>
      </w:r>
    </w:p>
    <w:p w14:paraId="5316E490" w14:textId="300CF4BE" w:rsidR="008457E4" w:rsidRPr="003F357D" w:rsidRDefault="008457E4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8457E4">
        <w:rPr>
          <w:rFonts w:ascii="Calibri" w:hAnsi="Calibri" w:cs="Calibri"/>
          <w:sz w:val="22"/>
          <w:szCs w:val="22"/>
        </w:rPr>
        <w:t>Přiloha</w:t>
      </w:r>
      <w:proofErr w:type="spellEnd"/>
      <w:r w:rsidRPr="008457E4">
        <w:rPr>
          <w:rFonts w:ascii="Calibri" w:hAnsi="Calibri" w:cs="Calibri"/>
          <w:sz w:val="22"/>
          <w:szCs w:val="22"/>
        </w:rPr>
        <w:t xml:space="preserve"> - VZOR</w:t>
      </w:r>
      <w:proofErr w:type="gramEnd"/>
      <w:r w:rsidRPr="008457E4">
        <w:rPr>
          <w:rFonts w:ascii="Calibri" w:hAnsi="Calibri" w:cs="Calibri"/>
          <w:sz w:val="22"/>
          <w:szCs w:val="22"/>
        </w:rPr>
        <w:t xml:space="preserve"> dokumentu smlouva VPN </w:t>
      </w:r>
      <w:proofErr w:type="spellStart"/>
      <w:r w:rsidRPr="008457E4">
        <w:rPr>
          <w:rFonts w:ascii="Calibri" w:hAnsi="Calibri" w:cs="Calibri"/>
          <w:sz w:val="22"/>
          <w:szCs w:val="22"/>
        </w:rPr>
        <w:t>Nemocncie</w:t>
      </w:r>
      <w:proofErr w:type="spellEnd"/>
      <w:r w:rsidRPr="008457E4">
        <w:rPr>
          <w:rFonts w:ascii="Calibri" w:hAnsi="Calibri" w:cs="Calibri"/>
          <w:sz w:val="22"/>
          <w:szCs w:val="22"/>
        </w:rPr>
        <w:t xml:space="preserve"> Třinec.docx</w:t>
      </w:r>
    </w:p>
    <w:p w14:paraId="31EBDE78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Bezpečnostní incidenty</w:t>
      </w:r>
    </w:p>
    <w:p w14:paraId="40C2621B" w14:textId="77777777" w:rsidR="003F357D" w:rsidRPr="003F357D" w:rsidRDefault="003F357D" w:rsidP="003F357D">
      <w:pPr>
        <w:spacing w:after="120"/>
        <w:ind w:left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F357D">
        <w:rPr>
          <w:rFonts w:ascii="Calibri" w:eastAsia="Calibri" w:hAnsi="Calibri" w:cs="Calibri"/>
          <w:sz w:val="22"/>
          <w:szCs w:val="22"/>
          <w:lang w:eastAsia="en-US"/>
        </w:rPr>
        <w:t xml:space="preserve">Dodavatel je povinen informovat </w:t>
      </w:r>
      <w:r w:rsidRPr="003F357D">
        <w:rPr>
          <w:rFonts w:ascii="Calibri" w:hAnsi="Calibri" w:cs="Calibri"/>
          <w:sz w:val="22"/>
          <w:szCs w:val="22"/>
        </w:rPr>
        <w:t xml:space="preserve">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</w:t>
      </w:r>
      <w:r w:rsidRPr="003F357D">
        <w:rPr>
          <w:rFonts w:ascii="Calibri" w:eastAsia="Calibri" w:hAnsi="Calibri" w:cs="Calibri"/>
          <w:sz w:val="22"/>
          <w:szCs w:val="22"/>
          <w:lang w:eastAsia="en-US"/>
        </w:rPr>
        <w:t xml:space="preserve"> o všech bezpečnostních událostech a incidentech, které by mohly mít negativní dopad na </w:t>
      </w:r>
      <w:r w:rsidRPr="003F357D">
        <w:rPr>
          <w:rFonts w:ascii="Calibri" w:hAnsi="Calibri" w:cs="Calibri"/>
          <w:sz w:val="22"/>
          <w:szCs w:val="22"/>
        </w:rPr>
        <w:t xml:space="preserve">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</w:t>
      </w:r>
    </w:p>
    <w:p w14:paraId="7C3A8EB4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Řízení rizik</w:t>
      </w:r>
    </w:p>
    <w:p w14:paraId="6D819AFB" w14:textId="77777777" w:rsidR="003F357D" w:rsidRDefault="003F357D" w:rsidP="003F357D">
      <w:pPr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bude</w:t>
      </w:r>
      <w:r w:rsidRPr="003F357D">
        <w:rPr>
          <w:rFonts w:ascii="Calibri" w:eastAsia="Calibri" w:hAnsi="Calibri" w:cs="Calibri"/>
          <w:sz w:val="22"/>
          <w:szCs w:val="22"/>
        </w:rPr>
        <w:t xml:space="preserve"> povinna řídit rizika související s dodavateli. </w:t>
      </w:r>
      <w:r w:rsidRPr="003F357D">
        <w:rPr>
          <w:rFonts w:ascii="Calibri" w:hAnsi="Calibri" w:cs="Calibri"/>
          <w:sz w:val="22"/>
          <w:szCs w:val="22"/>
        </w:rPr>
        <w:t xml:space="preserve">Pokud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2023784F" w14:textId="77777777" w:rsidR="00EB407E" w:rsidRPr="003F357D" w:rsidRDefault="00EB407E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>
        <w:rPr>
          <w:rFonts w:cs="Calibri"/>
        </w:rPr>
        <w:t>Technický popis a komunikační matice</w:t>
      </w:r>
    </w:p>
    <w:p w14:paraId="0BCB428C" w14:textId="77777777" w:rsidR="00EB407E" w:rsidRPr="003F357D" w:rsidRDefault="00EB407E" w:rsidP="003F357D">
      <w:pPr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eastAsia="Calibri" w:hAnsi="Calibri" w:cs="Calibri"/>
          <w:sz w:val="22"/>
          <w:szCs w:val="22"/>
          <w:lang w:eastAsia="en-US"/>
        </w:rPr>
        <w:t xml:space="preserve">Dodavatel je povinen </w:t>
      </w:r>
      <w:r w:rsidRPr="003F357D">
        <w:rPr>
          <w:rFonts w:ascii="Calibri" w:hAnsi="Calibri" w:cs="Calibri"/>
          <w:sz w:val="22"/>
          <w:szCs w:val="22"/>
        </w:rPr>
        <w:t>Nemocnic</w:t>
      </w:r>
      <w:r>
        <w:rPr>
          <w:rFonts w:ascii="Calibri" w:hAnsi="Calibri" w:cs="Calibri"/>
          <w:sz w:val="22"/>
          <w:szCs w:val="22"/>
        </w:rPr>
        <w:t>i</w:t>
      </w:r>
      <w:r w:rsidRPr="003F357D">
        <w:rPr>
          <w:rFonts w:ascii="Calibri" w:hAnsi="Calibri" w:cs="Calibri"/>
          <w:sz w:val="22"/>
          <w:szCs w:val="22"/>
        </w:rPr>
        <w:t xml:space="preserve">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dodat technický popis řešení a komunikační matici</w:t>
      </w:r>
      <w:r w:rsidR="00112389">
        <w:rPr>
          <w:rFonts w:ascii="Calibri" w:hAnsi="Calibri" w:cs="Calibri"/>
          <w:sz w:val="22"/>
          <w:szCs w:val="22"/>
        </w:rPr>
        <w:t xml:space="preserve"> pro nastavení Firewall politik (komunikační porty)</w:t>
      </w:r>
      <w:r>
        <w:rPr>
          <w:rFonts w:ascii="Calibri" w:hAnsi="Calibri" w:cs="Calibri"/>
          <w:sz w:val="22"/>
          <w:szCs w:val="22"/>
        </w:rPr>
        <w:t>.</w:t>
      </w:r>
    </w:p>
    <w:p w14:paraId="0FC4B227" w14:textId="77777777" w:rsidR="003F357D" w:rsidRP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357D">
        <w:rPr>
          <w:rFonts w:ascii="Calibri" w:hAnsi="Calibri" w:cs="Calibri"/>
          <w:b/>
          <w:sz w:val="22"/>
          <w:szCs w:val="22"/>
          <w:u w:val="single"/>
        </w:rPr>
        <w:t>Pokud je součástí předmětu plnění také PC, notebook či jiná obdobná výpočetní technika, potom rovněž:</w:t>
      </w:r>
    </w:p>
    <w:p w14:paraId="07F34BFA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 xml:space="preserve">Operační systém </w:t>
      </w:r>
    </w:p>
    <w:p w14:paraId="1BB66614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Výpočetní techniku, která je připojena ke zdravotnické technice a zároveň do interní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., </w:t>
      </w:r>
    </w:p>
    <w:p w14:paraId="3F76BFD8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>je dodavatel povinen dodat s operačním systémem ve verzi podporované výrobcem operačního systému, zejména v oblasti bezpečnostních patchů. Pro operační systémy s licencí „Open Source“ (GNU, GPL apod.) musí mít dodavatel prokazatelně zajištěnou odpovídající podporu operačního systému.</w:t>
      </w:r>
    </w:p>
    <w:p w14:paraId="49AA8C3F" w14:textId="77777777" w:rsidR="003F357D" w:rsidRPr="003F357D" w:rsidRDefault="003F357D" w:rsidP="006B4EB9">
      <w:pPr>
        <w:pStyle w:val="Odstavecseseznamem"/>
        <w:numPr>
          <w:ilvl w:val="0"/>
          <w:numId w:val="2"/>
        </w:numPr>
        <w:suppressAutoHyphens/>
        <w:spacing w:after="120"/>
        <w:ind w:left="425" w:hanging="425"/>
        <w:jc w:val="both"/>
        <w:rPr>
          <w:rFonts w:cs="Calibri"/>
        </w:rPr>
      </w:pPr>
      <w:r w:rsidRPr="003F357D">
        <w:rPr>
          <w:rFonts w:cs="Calibri"/>
        </w:rPr>
        <w:t>Penetrační (bezpečnostní) testování</w:t>
      </w:r>
    </w:p>
    <w:p w14:paraId="2ED3315E" w14:textId="77777777" w:rsidR="003F357D" w:rsidRPr="003F357D" w:rsidRDefault="003F357D" w:rsidP="003F357D">
      <w:pPr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musí umožnit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provedení bezpečnostního testování v předem stanovených termínech.</w:t>
      </w:r>
    </w:p>
    <w:p w14:paraId="7719ACE0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bude mít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2F0A0363" w14:textId="77777777" w:rsidR="003F357D" w:rsidRPr="003F357D" w:rsidRDefault="003F357D" w:rsidP="003F357D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Vyžadování plnění výše uvedených požadavků, které vyplývají z bezpečnostních opatření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 xml:space="preserve">. v míře nezbytné pro splnění povinností Nemocnice Třinec, </w:t>
      </w:r>
      <w:proofErr w:type="spellStart"/>
      <w:r w:rsidRPr="003F357D">
        <w:rPr>
          <w:rFonts w:ascii="Calibri" w:hAnsi="Calibri" w:cs="Calibri"/>
          <w:sz w:val="22"/>
          <w:szCs w:val="22"/>
        </w:rPr>
        <w:t>p.o</w:t>
      </w:r>
      <w:proofErr w:type="spellEnd"/>
      <w:r w:rsidRPr="003F357D">
        <w:rPr>
          <w:rFonts w:ascii="Calibri" w:hAnsi="Calibri" w:cs="Calibri"/>
          <w:sz w:val="22"/>
          <w:szCs w:val="22"/>
        </w:rPr>
        <w:t>.  podle zákona o kybernetické bezpečnosti není tedy možné považovat podle § 4 zákona o kybernetické bezpečnosti za nezákonné omezení hospodářské soutěže nebo neodůvodněnou překážku hospodářské soutěži.</w:t>
      </w:r>
    </w:p>
    <w:p w14:paraId="2E30CA1A" w14:textId="77777777" w:rsidR="00CD67BF" w:rsidRPr="003F357D" w:rsidRDefault="003F357D" w:rsidP="003F357D">
      <w:pPr>
        <w:spacing w:after="120"/>
        <w:ind w:left="426"/>
        <w:jc w:val="both"/>
      </w:pPr>
      <w:r w:rsidRPr="003F357D">
        <w:rPr>
          <w:rFonts w:ascii="Calibri" w:hAnsi="Calibri" w:cs="Calibri"/>
          <w:sz w:val="22"/>
          <w:szCs w:val="22"/>
        </w:rPr>
        <w:t>Dodavatel má povinnost zajistit bezodkladné odstranění zjištěných nedostatků a nesouladu se stanovenými bezpečnostními požadavky.</w:t>
      </w:r>
    </w:p>
    <w:sectPr w:rsidR="00CD67BF" w:rsidRPr="003F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C9AC" w14:textId="77777777" w:rsidR="00CD67BF" w:rsidRDefault="00CD67BF">
      <w:r>
        <w:separator/>
      </w:r>
    </w:p>
  </w:endnote>
  <w:endnote w:type="continuationSeparator" w:id="0">
    <w:p w14:paraId="6B4230CF" w14:textId="77777777" w:rsidR="00CD67BF" w:rsidRDefault="00CD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7B10" w14:textId="77777777"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4A63" w14:textId="77777777" w:rsidR="00CD67BF" w:rsidRDefault="00CD67BF">
    <w:pPr>
      <w:pStyle w:val="Zpat"/>
    </w:pPr>
  </w:p>
  <w:p w14:paraId="246CAB5B" w14:textId="77777777" w:rsidR="00CD67BF" w:rsidRDefault="003F357D">
    <w:pPr>
      <w:pStyle w:val="Zpat"/>
      <w:rPr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1DEC8C" wp14:editId="1D0891E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01166976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49985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  <w:p w14:paraId="77F69168" w14:textId="77777777" w:rsidR="00CD67BF" w:rsidRDefault="003F357D">
    <w:pPr>
      <w:pStyle w:val="Zpat"/>
      <w:jc w:val="center"/>
      <w:rPr>
        <w:lang w:eastAsia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6CD1F2A1" wp14:editId="4D55EEAB">
          <wp:simplePos x="0" y="0"/>
          <wp:positionH relativeFrom="column">
            <wp:posOffset>114300</wp:posOffset>
          </wp:positionH>
          <wp:positionV relativeFrom="paragraph">
            <wp:posOffset>-36195</wp:posOffset>
          </wp:positionV>
          <wp:extent cx="574675" cy="5435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9" r="-27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 wp14:anchorId="74B1EA6A" wp14:editId="687ACB9B">
          <wp:simplePos x="0" y="0"/>
          <wp:positionH relativeFrom="column">
            <wp:posOffset>4914900</wp:posOffset>
          </wp:positionH>
          <wp:positionV relativeFrom="paragraph">
            <wp:posOffset>5080</wp:posOffset>
          </wp:positionV>
          <wp:extent cx="1244600" cy="5346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5" r="-32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52A55" w14:textId="77777777" w:rsidR="00CD67BF" w:rsidRDefault="00CD67BF">
    <w:pPr>
      <w:pStyle w:val="Zpat"/>
      <w:jc w:val="center"/>
    </w:pPr>
    <w:r>
      <w:tab/>
    </w:r>
    <w:hyperlink r:id="rId3" w:history="1">
      <w:r>
        <w:rPr>
          <w:rStyle w:val="Hypertextovodkaz"/>
        </w:rPr>
        <w:t>www.nemtr.cz</w:t>
      </w:r>
    </w:hyperlink>
    <w:r>
      <w:t xml:space="preserve">       info@nemtr.cz</w:t>
    </w:r>
  </w:p>
  <w:p w14:paraId="17A5D9EB" w14:textId="77777777" w:rsidR="00CD67BF" w:rsidRDefault="00CD67BF">
    <w:pPr>
      <w:pStyle w:val="Zpat"/>
      <w:jc w:val="center"/>
    </w:pPr>
  </w:p>
  <w:p w14:paraId="50A5DA72" w14:textId="77777777" w:rsidR="00CD67BF" w:rsidRDefault="00CD67BF">
    <w:pPr>
      <w:pStyle w:val="Zpat"/>
      <w:jc w:val="center"/>
    </w:pPr>
    <w:r>
      <w:t xml:space="preserve">Bankovní spojení: Komerční banka Třinec, </w:t>
    </w:r>
    <w:proofErr w:type="spellStart"/>
    <w:proofErr w:type="gramStart"/>
    <w:r>
      <w:t>č.účtu</w:t>
    </w:r>
    <w:proofErr w:type="spellEnd"/>
    <w:proofErr w:type="gramEnd"/>
    <w:r>
      <w:t>: 29034-781/0100</w:t>
    </w:r>
  </w:p>
  <w:p w14:paraId="05BA2B99" w14:textId="77777777" w:rsidR="00CD67BF" w:rsidRDefault="00CD67BF">
    <w:pPr>
      <w:pStyle w:val="Zpat"/>
      <w:jc w:val="both"/>
    </w:pPr>
    <w:r>
      <w:t xml:space="preserve">IČO: 00534242 </w:t>
    </w:r>
  </w:p>
  <w:p w14:paraId="52273A70" w14:textId="77777777" w:rsidR="00CD67BF" w:rsidRDefault="00CD67BF">
    <w:pPr>
      <w:pStyle w:val="Zpat"/>
      <w:tabs>
        <w:tab w:val="clear" w:pos="9072"/>
        <w:tab w:val="right" w:pos="9900"/>
      </w:tabs>
      <w:jc w:val="both"/>
    </w:pPr>
    <w:r>
      <w:t xml:space="preserve">DIČ: CZ00534242 </w:t>
    </w:r>
    <w:r>
      <w:tab/>
    </w:r>
    <w:r>
      <w:tab/>
      <w:t>Tel.: 558 309 111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8B44" w14:textId="77777777" w:rsidR="00CD67BF" w:rsidRDefault="00CD6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18D2" w14:textId="77777777" w:rsidR="00CD67BF" w:rsidRDefault="00CD67BF">
      <w:r>
        <w:separator/>
      </w:r>
    </w:p>
  </w:footnote>
  <w:footnote w:type="continuationSeparator" w:id="0">
    <w:p w14:paraId="6D59D68B" w14:textId="77777777" w:rsidR="00CD67BF" w:rsidRDefault="00CD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B38C" w14:textId="77777777" w:rsidR="00CD67BF" w:rsidRDefault="00CD67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B33C" w14:textId="77777777" w:rsidR="00CD67BF" w:rsidRDefault="003F357D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60"/>
      <w:ind w:firstLine="709"/>
    </w:pPr>
    <w:r>
      <w:rPr>
        <w:b/>
        <w:caps/>
        <w:noProof/>
        <w:sz w:val="28"/>
        <w:szCs w:val="28"/>
      </w:rPr>
      <w:drawing>
        <wp:anchor distT="0" distB="0" distL="114935" distR="114935" simplePos="0" relativeHeight="251657216" behindDoc="0" locked="0" layoutInCell="1" allowOverlap="1" wp14:anchorId="24D84647" wp14:editId="180CCCEA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7170" cy="3416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3" r="-6" b="-3"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341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BF">
      <w:rPr>
        <w:b/>
        <w:caps/>
        <w:sz w:val="28"/>
        <w:szCs w:val="28"/>
      </w:rPr>
      <w:t>Nemocnice Třinec</w:t>
    </w:r>
    <w:r w:rsidR="00CD67BF">
      <w:rPr>
        <w:b/>
        <w:sz w:val="28"/>
        <w:szCs w:val="28"/>
      </w:rPr>
      <w:t xml:space="preserve">, </w:t>
    </w:r>
    <w:r w:rsidR="00CD67BF">
      <w:rPr>
        <w:b/>
        <w:sz w:val="24"/>
        <w:szCs w:val="24"/>
      </w:rPr>
      <w:t>příspěvková organizace</w:t>
    </w:r>
  </w:p>
  <w:p w14:paraId="1686060D" w14:textId="77777777" w:rsidR="00CD67BF" w:rsidRDefault="00CD67BF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firstLine="708"/>
    </w:pPr>
    <w:proofErr w:type="gramStart"/>
    <w:r>
      <w:rPr>
        <w:b/>
        <w:sz w:val="24"/>
        <w:szCs w:val="24"/>
      </w:rPr>
      <w:t>Kaštanová  268</w:t>
    </w:r>
    <w:proofErr w:type="gramEnd"/>
    <w:r>
      <w:rPr>
        <w:b/>
        <w:sz w:val="24"/>
        <w:szCs w:val="24"/>
      </w:rPr>
      <w:t xml:space="preserve">, Dolní </w:t>
    </w:r>
    <w:proofErr w:type="spellStart"/>
    <w:r>
      <w:rPr>
        <w:b/>
        <w:sz w:val="24"/>
        <w:szCs w:val="24"/>
      </w:rPr>
      <w:t>Líštná</w:t>
    </w:r>
    <w:proofErr w:type="spellEnd"/>
    <w:r>
      <w:rPr>
        <w:b/>
        <w:sz w:val="24"/>
        <w:szCs w:val="24"/>
      </w:rPr>
      <w:t>, 739 61 Třinec</w:t>
    </w:r>
  </w:p>
  <w:p w14:paraId="2EA2E0F0" w14:textId="77777777" w:rsidR="00CD67BF" w:rsidRDefault="00CD67BF">
    <w:pPr>
      <w:pStyle w:val="Zpat"/>
      <w:spacing w:before="60"/>
      <w:jc w:val="right"/>
    </w:pPr>
    <w:r>
      <w:rPr>
        <w:i/>
        <w:sz w:val="16"/>
        <w:szCs w:val="16"/>
      </w:rPr>
      <w:t>AKREDITOVANÉ ZDRAVOTNICKÉ ZAŘÍZENÍ</w:t>
    </w:r>
  </w:p>
  <w:p w14:paraId="399C2437" w14:textId="77777777" w:rsidR="00CD67BF" w:rsidRDefault="00CD67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E5DB" w14:textId="77777777" w:rsidR="00CD67BF" w:rsidRDefault="00CD67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36">
    <w:abstractNumId w:val="1"/>
  </w:num>
  <w:num w:numId="2" w16cid:durableId="33122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2"/>
    <w:rsid w:val="000201A0"/>
    <w:rsid w:val="00035094"/>
    <w:rsid w:val="00112389"/>
    <w:rsid w:val="00240786"/>
    <w:rsid w:val="00330217"/>
    <w:rsid w:val="003F357D"/>
    <w:rsid w:val="00441E12"/>
    <w:rsid w:val="006B4EB9"/>
    <w:rsid w:val="008457E4"/>
    <w:rsid w:val="00A75C89"/>
    <w:rsid w:val="00CD67BF"/>
    <w:rsid w:val="00E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7CD1EC66"/>
  <w15:chartTrackingRefBased/>
  <w15:docId w15:val="{96825551-E70E-4F5F-A25A-C2F19CA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3F357D"/>
    <w:rPr>
      <w:rFonts w:ascii="Calibri" w:hAnsi="Calibri"/>
      <w:b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F357D"/>
    <w:pPr>
      <w:suppressAutoHyphens w:val="0"/>
      <w:ind w:left="720"/>
      <w:contextualSpacing/>
    </w:pPr>
    <w:rPr>
      <w:rFonts w:ascii="Calibri" w:hAnsi="Calibri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tr.cz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6486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Tomáš Walach</cp:lastModifiedBy>
  <cp:revision>10</cp:revision>
  <cp:lastPrinted>2015-01-20T06:39:00Z</cp:lastPrinted>
  <dcterms:created xsi:type="dcterms:W3CDTF">2023-06-19T06:33:00Z</dcterms:created>
  <dcterms:modified xsi:type="dcterms:W3CDTF">2024-02-23T11:23:00Z</dcterms:modified>
</cp:coreProperties>
</file>