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BDD3" w14:textId="0D0AF477" w:rsidR="005011CD" w:rsidRPr="003369D6" w:rsidRDefault="005011CD" w:rsidP="003369D6">
      <w:pPr>
        <w:jc w:val="center"/>
        <w:rPr>
          <w:b/>
          <w:bCs/>
          <w:sz w:val="24"/>
          <w:szCs w:val="24"/>
        </w:rPr>
      </w:pPr>
      <w:bookmarkStart w:id="0" w:name="_Hlk183525024"/>
      <w:r w:rsidRPr="003369D6">
        <w:rPr>
          <w:b/>
          <w:bCs/>
          <w:sz w:val="24"/>
          <w:szCs w:val="24"/>
        </w:rPr>
        <w:t>Příloha č. 6 zadávací dokumentace k veřejné zakázce</w:t>
      </w:r>
    </w:p>
    <w:p w14:paraId="544639FE" w14:textId="29E15316" w:rsidR="005011CD" w:rsidRPr="003369D6" w:rsidRDefault="00870866" w:rsidP="003369D6">
      <w:pPr>
        <w:jc w:val="center"/>
        <w:rPr>
          <w:b/>
          <w:bCs/>
          <w:sz w:val="24"/>
          <w:szCs w:val="24"/>
        </w:rPr>
      </w:pPr>
      <w:r>
        <w:rPr>
          <w:rFonts w:cs="Arial"/>
          <w:b/>
          <w:sz w:val="24"/>
        </w:rPr>
        <w:t>„</w:t>
      </w:r>
      <w:r w:rsidR="00264533">
        <w:rPr>
          <w:rFonts w:cs="Arial"/>
          <w:b/>
          <w:sz w:val="24"/>
        </w:rPr>
        <w:t>ROZŠÍŘENÍ</w:t>
      </w:r>
      <w:r w:rsidR="00264533" w:rsidRPr="007F619F">
        <w:rPr>
          <w:rFonts w:cs="Arial"/>
          <w:b/>
          <w:sz w:val="24"/>
        </w:rPr>
        <w:t xml:space="preserve"> </w:t>
      </w:r>
      <w:r w:rsidRPr="007F619F">
        <w:rPr>
          <w:rFonts w:cs="Arial"/>
          <w:b/>
          <w:sz w:val="24"/>
        </w:rPr>
        <w:t>WIFI SÍTĚ</w:t>
      </w:r>
      <w:r>
        <w:rPr>
          <w:rFonts w:cs="Arial"/>
          <w:b/>
          <w:sz w:val="24"/>
        </w:rPr>
        <w:t>“</w:t>
      </w:r>
    </w:p>
    <w:p w14:paraId="252BA628" w14:textId="77777777" w:rsidR="005011CD" w:rsidRPr="005011CD" w:rsidRDefault="005011CD" w:rsidP="003369D6"/>
    <w:p w14:paraId="1692210E" w14:textId="77777777" w:rsidR="005011CD" w:rsidRPr="005011CD" w:rsidRDefault="005011CD" w:rsidP="003369D6"/>
    <w:p w14:paraId="7F0AC55D" w14:textId="77777777" w:rsidR="005011CD" w:rsidRPr="005011CD" w:rsidRDefault="005011CD" w:rsidP="003369D6"/>
    <w:p w14:paraId="5B42723A" w14:textId="77777777" w:rsidR="005011CD" w:rsidRPr="005011CD" w:rsidRDefault="005011CD" w:rsidP="003369D6"/>
    <w:p w14:paraId="1F24F536" w14:textId="77777777" w:rsidR="005011CD" w:rsidRPr="005011CD" w:rsidRDefault="005011CD" w:rsidP="003369D6"/>
    <w:p w14:paraId="67DFDFCC" w14:textId="77777777" w:rsidR="005011CD" w:rsidRPr="003369D6" w:rsidRDefault="005011CD" w:rsidP="003369D6">
      <w:pPr>
        <w:jc w:val="center"/>
        <w:rPr>
          <w:b/>
          <w:bCs/>
          <w:sz w:val="28"/>
          <w:szCs w:val="28"/>
        </w:rPr>
      </w:pPr>
      <w:r w:rsidRPr="003369D6">
        <w:rPr>
          <w:b/>
          <w:bCs/>
          <w:sz w:val="28"/>
          <w:szCs w:val="28"/>
        </w:rPr>
        <w:t>TECHNICKÁ SPECIFIKACE</w:t>
      </w:r>
    </w:p>
    <w:p w14:paraId="12998462" w14:textId="77777777" w:rsidR="005011CD" w:rsidRDefault="005011CD" w:rsidP="003369D6"/>
    <w:p w14:paraId="4131EA50" w14:textId="77777777" w:rsidR="005011CD" w:rsidRDefault="005011CD" w:rsidP="003369D6">
      <w:bookmarkStart w:id="1" w:name="_Hlk189641572"/>
      <w:bookmarkEnd w:id="0"/>
      <w:r>
        <w:br w:type="page"/>
      </w:r>
    </w:p>
    <w:p w14:paraId="21BED19C" w14:textId="51244F14" w:rsidR="003369D6" w:rsidRPr="00CF52D2" w:rsidRDefault="003369D6" w:rsidP="00CF52D2">
      <w:pPr>
        <w:pStyle w:val="Hlavnnadpis"/>
      </w:pPr>
      <w:bookmarkStart w:id="2" w:name="_Toc193187851"/>
      <w:bookmarkStart w:id="3" w:name="_Hlk189641559"/>
      <w:bookmarkStart w:id="4" w:name="_Hlk183525074"/>
      <w:bookmarkEnd w:id="1"/>
      <w:r w:rsidRPr="00CF52D2">
        <w:lastRenderedPageBreak/>
        <w:t xml:space="preserve">MODERNIZACE </w:t>
      </w:r>
      <w:bookmarkEnd w:id="2"/>
      <w:r w:rsidR="00870866" w:rsidRPr="00870866">
        <w:t>WIFI SÍTĚ</w:t>
      </w:r>
    </w:p>
    <w:bookmarkEnd w:id="3"/>
    <w:p w14:paraId="71075928" w14:textId="7672C3A5" w:rsidR="003369D6" w:rsidRDefault="00870866" w:rsidP="003369D6">
      <w:pPr>
        <w:pStyle w:val="NadpisA"/>
      </w:pPr>
      <w:r>
        <w:t>PŘEDMĚT PLNĚNÍ</w:t>
      </w:r>
    </w:p>
    <w:p w14:paraId="5516EFF6" w14:textId="7CF9A2AC" w:rsidR="00870866" w:rsidRPr="00870866" w:rsidRDefault="00870866" w:rsidP="00870866">
      <w:bookmarkStart w:id="5" w:name="_Hlk194010885"/>
      <w:r w:rsidRPr="00870866">
        <w:t xml:space="preserve">Předmětem </w:t>
      </w:r>
      <w:r>
        <w:t xml:space="preserve">plnění veřejné </w:t>
      </w:r>
      <w:r w:rsidRPr="00870866">
        <w:t xml:space="preserve">zakázky je rozšíření stávající </w:t>
      </w:r>
      <w:proofErr w:type="spellStart"/>
      <w:r w:rsidRPr="00870866">
        <w:t>WiFi</w:t>
      </w:r>
      <w:proofErr w:type="spellEnd"/>
      <w:r w:rsidRPr="00870866">
        <w:t xml:space="preserve"> sítě v budovách A,</w:t>
      </w:r>
      <w:r>
        <w:t xml:space="preserve"> </w:t>
      </w:r>
      <w:r w:rsidRPr="00870866">
        <w:t>B,</w:t>
      </w:r>
      <w:r>
        <w:t xml:space="preserve"> </w:t>
      </w:r>
      <w:r w:rsidRPr="00870866">
        <w:t>C,</w:t>
      </w:r>
      <w:r>
        <w:t xml:space="preserve"> </w:t>
      </w:r>
      <w:r w:rsidRPr="00870866">
        <w:t>D,</w:t>
      </w:r>
      <w:r>
        <w:t xml:space="preserve"> </w:t>
      </w:r>
      <w:r w:rsidRPr="00870866">
        <w:t>E,</w:t>
      </w:r>
      <w:r>
        <w:t xml:space="preserve"> </w:t>
      </w:r>
      <w:r w:rsidRPr="00870866">
        <w:t>F,</w:t>
      </w:r>
      <w:r>
        <w:t xml:space="preserve"> </w:t>
      </w:r>
      <w:r w:rsidRPr="00870866">
        <w:t>H,</w:t>
      </w:r>
      <w:r>
        <w:t xml:space="preserve"> </w:t>
      </w:r>
      <w:r w:rsidRPr="00870866">
        <w:t>I,</w:t>
      </w:r>
      <w:r>
        <w:t xml:space="preserve"> </w:t>
      </w:r>
      <w:r w:rsidRPr="00870866">
        <w:t>J,</w:t>
      </w:r>
      <w:r>
        <w:t xml:space="preserve"> </w:t>
      </w:r>
      <w:r w:rsidRPr="00870866">
        <w:t>L,</w:t>
      </w:r>
      <w:r>
        <w:t xml:space="preserve"> </w:t>
      </w:r>
      <w:r w:rsidRPr="00870866">
        <w:t>O,</w:t>
      </w:r>
      <w:r>
        <w:t xml:space="preserve"> </w:t>
      </w:r>
      <w:r w:rsidRPr="00870866">
        <w:t>R,</w:t>
      </w:r>
      <w:r>
        <w:t xml:space="preserve"> </w:t>
      </w:r>
      <w:r w:rsidRPr="00870866">
        <w:t>S a V umístěných v areálu nemocnice</w:t>
      </w:r>
      <w:r>
        <w:t>.</w:t>
      </w:r>
    </w:p>
    <w:p w14:paraId="6C0082F0" w14:textId="77777777" w:rsidR="00870866" w:rsidRPr="00870866" w:rsidRDefault="00870866" w:rsidP="00870866">
      <w:r w:rsidRPr="00870866">
        <w:t xml:space="preserve">Aktivní prvky budou spravovány prostřednictvím stávajícího centrálního managementu </w:t>
      </w:r>
      <w:proofErr w:type="spellStart"/>
      <w:r w:rsidRPr="00870866">
        <w:t>ExtremeCloud</w:t>
      </w:r>
      <w:proofErr w:type="spellEnd"/>
      <w:r w:rsidRPr="00870866">
        <w:t xml:space="preserve"> IQ </w:t>
      </w:r>
      <w:proofErr w:type="spellStart"/>
      <w:r w:rsidRPr="00870866">
        <w:t>Site</w:t>
      </w:r>
      <w:proofErr w:type="spellEnd"/>
      <w:r w:rsidRPr="00870866">
        <w:t xml:space="preserve"> </w:t>
      </w:r>
      <w:proofErr w:type="spellStart"/>
      <w:r w:rsidRPr="00870866">
        <w:t>Engine</w:t>
      </w:r>
      <w:proofErr w:type="spellEnd"/>
      <w:r w:rsidRPr="00870866">
        <w:t xml:space="preserve"> (přepínače) nebo </w:t>
      </w:r>
      <w:proofErr w:type="spellStart"/>
      <w:r w:rsidRPr="00870866">
        <w:t>ExtremeCloud</w:t>
      </w:r>
      <w:proofErr w:type="spellEnd"/>
      <w:r w:rsidRPr="00870866">
        <w:t xml:space="preserve"> IQ (Wi-Fi AP).</w:t>
      </w:r>
    </w:p>
    <w:p w14:paraId="6AAC1178" w14:textId="77777777" w:rsidR="00870866" w:rsidRPr="00870866" w:rsidRDefault="00870866" w:rsidP="00870866">
      <w:r w:rsidRPr="00870866">
        <w:t xml:space="preserve">Aktivní prvky a příslušenství musí být určeny pro český trh a musí být zajištěna garance servisu výrobce na dodaná zařízení v ČR. </w:t>
      </w:r>
    </w:p>
    <w:p w14:paraId="6627122A" w14:textId="77777777" w:rsidR="00870866" w:rsidRPr="00870866" w:rsidRDefault="00870866" w:rsidP="00870866">
      <w:r w:rsidRPr="00870866">
        <w:t>Součástí dodávky bude asistence při instalaci a zaškolení.</w:t>
      </w:r>
      <w:bookmarkEnd w:id="5"/>
    </w:p>
    <w:p w14:paraId="03F0D2D7" w14:textId="77777777" w:rsidR="00870866" w:rsidRDefault="00870866" w:rsidP="00870866"/>
    <w:p w14:paraId="72D6D2BE" w14:textId="365FC5A0" w:rsidR="00870866" w:rsidRPr="00870866" w:rsidRDefault="00870866" w:rsidP="00870866">
      <w:pPr>
        <w:pStyle w:val="Nadpis"/>
      </w:pPr>
      <w:r w:rsidRPr="00870866">
        <w:t>Pořízení Aktivní technologie a souvisejících SW licencí</w:t>
      </w:r>
    </w:p>
    <w:p w14:paraId="50A56B57" w14:textId="4C56CEFF" w:rsidR="0005100E" w:rsidRDefault="0005100E" w:rsidP="00870866">
      <w:r>
        <w:t xml:space="preserve">Z důvodu flexibility a zachování investice zadavatel a zřizovatel MSK požaduje, aby dodané řešení umožňovalo konfiguraci a správu ze stávajícího centrálního managmentu a systému řízení přístupů do sítě „NAC“ (Network Access </w:t>
      </w:r>
      <w:proofErr w:type="spellStart"/>
      <w:r>
        <w:t>control</w:t>
      </w:r>
      <w:proofErr w:type="spellEnd"/>
      <w:r>
        <w:t xml:space="preserve">) </w:t>
      </w:r>
      <w:proofErr w:type="spellStart"/>
      <w:r>
        <w:t>ExtremeCloud</w:t>
      </w:r>
      <w:proofErr w:type="spellEnd"/>
      <w:r>
        <w:t xml:space="preserve"> IQ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od firmy Extreme Networks, který zadavatel aktivně využívá. </w:t>
      </w:r>
      <w:r w:rsidRPr="00FA0407">
        <w:t xml:space="preserve">Zadavatel zvážil a posoudil, zda je v tomto konkrétním případě vymezení předmětu veřejné zakázky odůvodněno jeho konkrétní potřebou. </w:t>
      </w:r>
      <w:r>
        <w:t xml:space="preserve">Stávající centrální management je jednotný pro všechna relevantní (používaná) řešení zadavatele a je napojeno na centrální bezpečnostní dohled (SOC) zřizovatele. </w:t>
      </w:r>
      <w:r w:rsidRPr="00FA0407">
        <w:t xml:space="preserve">Zadavatel proto v řízení poptává </w:t>
      </w:r>
      <w:r>
        <w:t xml:space="preserve">možnost konfigurace a správy prostřednictvím </w:t>
      </w:r>
      <w:r w:rsidRPr="00FA0407">
        <w:t>konkrétní</w:t>
      </w:r>
      <w:r>
        <w:t>ho</w:t>
      </w:r>
      <w:r w:rsidRPr="00FA0407">
        <w:t xml:space="preserve"> produkt</w:t>
      </w:r>
      <w:r>
        <w:t>u</w:t>
      </w:r>
      <w:r w:rsidRPr="00FA0407">
        <w:t xml:space="preserve"> z důvodu nezbytné kompatibility se stávajícím technologickým prostředím, a dále z důvodu funkční návaznosti na stávající infrastrukturu a síťové vybavení zadavatele. Zadavatelovy potřeby nemohou naplnit výrobky jiného výrobce, neboť by nebyla zajištěna 100% kompatibilita u všech funkcionalit. Výrobky jiného dodavatele by také zásadním způsobem komplikovali správu</w:t>
      </w:r>
      <w:r>
        <w:t xml:space="preserve">, </w:t>
      </w:r>
      <w:r w:rsidRPr="00FA0407">
        <w:t>dohled a</w:t>
      </w:r>
      <w:r>
        <w:t> </w:t>
      </w:r>
      <w:r w:rsidRPr="00FA0407">
        <w:t>servisní infrastrukturní procesy. Jakékoli jiné plnění by tak nenaplnilo oprávněné potřeby zad</w:t>
      </w:r>
      <w:r>
        <w:t>avatele.</w:t>
      </w:r>
    </w:p>
    <w:p w14:paraId="67C6498C" w14:textId="77777777" w:rsidR="0005100E" w:rsidRDefault="0005100E" w:rsidP="00870866"/>
    <w:p w14:paraId="25D0E194" w14:textId="58802C81" w:rsidR="0005100E" w:rsidRDefault="0005100E" w:rsidP="0005100E">
      <w:pPr>
        <w:pStyle w:val="Nadpis3"/>
      </w:pPr>
      <w:r>
        <w:t>Předmět dodávky</w:t>
      </w:r>
    </w:p>
    <w:p w14:paraId="604CA84E" w14:textId="77E1A055" w:rsidR="0005100E" w:rsidRDefault="0005100E" w:rsidP="0005100E">
      <w:r w:rsidRPr="00870866">
        <w:t xml:space="preserve">Aktivní prvky budou spravovány prostřednictvím stávajícího centrálního managementu </w:t>
      </w:r>
      <w:proofErr w:type="spellStart"/>
      <w:r w:rsidRPr="00870866">
        <w:t>ExtremeCloud</w:t>
      </w:r>
      <w:proofErr w:type="spellEnd"/>
      <w:r w:rsidRPr="00870866">
        <w:t xml:space="preserve"> IQ </w:t>
      </w:r>
      <w:proofErr w:type="spellStart"/>
      <w:r w:rsidRPr="00870866">
        <w:t>Site</w:t>
      </w:r>
      <w:proofErr w:type="spellEnd"/>
      <w:r w:rsidRPr="00870866">
        <w:t xml:space="preserve"> </w:t>
      </w:r>
      <w:proofErr w:type="spellStart"/>
      <w:r w:rsidRPr="00870866">
        <w:t>Engine</w:t>
      </w:r>
      <w:proofErr w:type="spellEnd"/>
      <w:r w:rsidRPr="00870866">
        <w:t xml:space="preserve"> (přepínače) nebo </w:t>
      </w:r>
      <w:proofErr w:type="spellStart"/>
      <w:r w:rsidRPr="00870866">
        <w:t>ExtremeCloud</w:t>
      </w:r>
      <w:proofErr w:type="spellEnd"/>
      <w:r w:rsidRPr="00870866">
        <w:t xml:space="preserve"> IQ (Wi-Fi AP).</w:t>
      </w:r>
    </w:p>
    <w:p w14:paraId="05F91903" w14:textId="3386DB2C" w:rsidR="0005100E" w:rsidRDefault="00870866" w:rsidP="00C36A3C">
      <w:pPr>
        <w:pStyle w:val="Odstavecseseznamem"/>
        <w:numPr>
          <w:ilvl w:val="0"/>
          <w:numId w:val="19"/>
        </w:numPr>
        <w:ind w:left="714" w:hanging="357"/>
      </w:pPr>
      <w:r w:rsidRPr="00870866">
        <w:t xml:space="preserve">Pořízení 211 ks </w:t>
      </w:r>
      <w:proofErr w:type="spellStart"/>
      <w:r w:rsidRPr="00870866">
        <w:t>WiFi</w:t>
      </w:r>
      <w:proofErr w:type="spellEnd"/>
      <w:r w:rsidRPr="00870866">
        <w:t xml:space="preserve"> AP Extreme Networks kompatibilních se stávající sítí vč</w:t>
      </w:r>
      <w:r w:rsidR="0005100E">
        <w:t>.</w:t>
      </w:r>
      <w:r w:rsidRPr="00870866">
        <w:t xml:space="preserve"> 21</w:t>
      </w:r>
      <w:r w:rsidR="00592E3B">
        <w:t>1</w:t>
      </w:r>
      <w:r w:rsidRPr="00870866">
        <w:t xml:space="preserve"> ks SW licencí pro stávající centrální management </w:t>
      </w:r>
      <w:proofErr w:type="spellStart"/>
      <w:r w:rsidRPr="00870866">
        <w:t>WiFi</w:t>
      </w:r>
      <w:proofErr w:type="spellEnd"/>
      <w:r w:rsidR="0005100E">
        <w:t xml:space="preserve"> (</w:t>
      </w:r>
      <w:proofErr w:type="spellStart"/>
      <w:r w:rsidRPr="00870866">
        <w:t>ExtremeCloud</w:t>
      </w:r>
      <w:proofErr w:type="spellEnd"/>
      <w:r w:rsidRPr="00870866">
        <w:t xml:space="preserve"> IQ</w:t>
      </w:r>
      <w:r w:rsidR="0005100E">
        <w:t xml:space="preserve">) </w:t>
      </w:r>
      <w:r w:rsidR="0005100E" w:rsidRPr="00870866">
        <w:t>na dobu 5 let</w:t>
      </w:r>
      <w:r w:rsidRPr="00870866">
        <w:t>.</w:t>
      </w:r>
    </w:p>
    <w:p w14:paraId="2F7E67D8" w14:textId="5D8CF0C2" w:rsidR="0005100E" w:rsidRDefault="00870866" w:rsidP="00C36A3C">
      <w:pPr>
        <w:pStyle w:val="Odstavecseseznamem"/>
        <w:numPr>
          <w:ilvl w:val="0"/>
          <w:numId w:val="19"/>
        </w:numPr>
        <w:ind w:left="714" w:hanging="357"/>
      </w:pPr>
      <w:r w:rsidRPr="00870866">
        <w:t xml:space="preserve">Pořízení 9 ks koncových přepínačů podnikové třídy (48 portů Class4 </w:t>
      </w:r>
      <w:proofErr w:type="spellStart"/>
      <w:r w:rsidRPr="00870866">
        <w:t>PoE</w:t>
      </w:r>
      <w:proofErr w:type="spellEnd"/>
      <w:r w:rsidRPr="00870866">
        <w:t xml:space="preserve">) pro připojení </w:t>
      </w:r>
      <w:proofErr w:type="spellStart"/>
      <w:r w:rsidRPr="00870866">
        <w:t>WiFi</w:t>
      </w:r>
      <w:proofErr w:type="spellEnd"/>
      <w:r w:rsidRPr="00870866">
        <w:t xml:space="preserve"> AP a SW Pilot licencí pro centrální management počítačové sítě </w:t>
      </w:r>
      <w:r w:rsidR="0005100E">
        <w:t>(</w:t>
      </w:r>
      <w:proofErr w:type="spellStart"/>
      <w:r w:rsidRPr="00870866">
        <w:t>ExtremeCloud</w:t>
      </w:r>
      <w:proofErr w:type="spellEnd"/>
      <w:r w:rsidRPr="00870866">
        <w:t xml:space="preserve"> IQ </w:t>
      </w:r>
      <w:proofErr w:type="spellStart"/>
      <w:r w:rsidRPr="00870866">
        <w:t>Site</w:t>
      </w:r>
      <w:proofErr w:type="spellEnd"/>
      <w:r w:rsidRPr="00870866">
        <w:t xml:space="preserve"> </w:t>
      </w:r>
      <w:proofErr w:type="spellStart"/>
      <w:r w:rsidRPr="00870866">
        <w:t>Engine</w:t>
      </w:r>
      <w:proofErr w:type="spellEnd"/>
      <w:r w:rsidR="0005100E">
        <w:t xml:space="preserve">) </w:t>
      </w:r>
      <w:r w:rsidR="0005100E" w:rsidRPr="00870866">
        <w:t>na dobu 5 let</w:t>
      </w:r>
      <w:r w:rsidR="0005100E">
        <w:t>.</w:t>
      </w:r>
    </w:p>
    <w:p w14:paraId="43147AF8" w14:textId="77777777" w:rsidR="0005100E" w:rsidRDefault="00870866" w:rsidP="00C36A3C">
      <w:pPr>
        <w:pStyle w:val="Odstavecseseznamem"/>
        <w:numPr>
          <w:ilvl w:val="0"/>
          <w:numId w:val="19"/>
        </w:numPr>
        <w:ind w:left="714" w:hanging="357"/>
      </w:pPr>
      <w:r w:rsidRPr="00870866">
        <w:t>Příslušenství k přepínačům – transceivery a kabeláž</w:t>
      </w:r>
    </w:p>
    <w:p w14:paraId="4FDA0191" w14:textId="292C0358" w:rsidR="0005100E" w:rsidRPr="0005100E" w:rsidRDefault="00870866" w:rsidP="00C36A3C">
      <w:pPr>
        <w:pStyle w:val="Odstavecseseznamem"/>
        <w:numPr>
          <w:ilvl w:val="1"/>
          <w:numId w:val="19"/>
        </w:numPr>
      </w:pPr>
      <w:r w:rsidRPr="0005100E">
        <w:rPr>
          <w:bCs/>
        </w:rPr>
        <w:t>SFP+ 10G LC SR MMF transceiver</w:t>
      </w:r>
      <w:r w:rsidR="0005100E">
        <w:rPr>
          <w:bCs/>
        </w:rPr>
        <w:t xml:space="preserve"> (2 ks)</w:t>
      </w:r>
    </w:p>
    <w:p w14:paraId="73EF32AF" w14:textId="440D8AC3" w:rsidR="00870866" w:rsidRPr="0005100E" w:rsidRDefault="0005100E" w:rsidP="0005100E">
      <w:pPr>
        <w:pStyle w:val="Odstavecseseznamem"/>
        <w:numPr>
          <w:ilvl w:val="0"/>
          <w:numId w:val="0"/>
        </w:numPr>
        <w:ind w:left="1440"/>
        <w:rPr>
          <w:i/>
          <w:iCs/>
        </w:rPr>
      </w:pPr>
      <w:r w:rsidRPr="0005100E">
        <w:rPr>
          <w:i/>
          <w:iCs/>
        </w:rPr>
        <w:t>P</w:t>
      </w:r>
      <w:r w:rsidR="00870866"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</w:t>
      </w:r>
      <w:r w:rsidR="00870866" w:rsidRPr="0005100E">
        <w:rPr>
          <w:i/>
          <w:iCs/>
        </w:rPr>
        <w:t>kompatibilní s dodanými přepínači</w:t>
      </w:r>
      <w:r w:rsidRPr="0005100E">
        <w:rPr>
          <w:i/>
          <w:iCs/>
        </w:rPr>
        <w:t xml:space="preserve">, </w:t>
      </w:r>
      <w:r w:rsidR="00870866" w:rsidRPr="0005100E">
        <w:rPr>
          <w:i/>
          <w:iCs/>
        </w:rPr>
        <w:t>může být i OEM kompatibilní</w:t>
      </w:r>
      <w:r w:rsidRPr="0005100E">
        <w:rPr>
          <w:i/>
          <w:iCs/>
        </w:rPr>
        <w:t>.</w:t>
      </w:r>
    </w:p>
    <w:p w14:paraId="33BBC787" w14:textId="6B2774B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SFP+ 10G LC LR SMF transceiver</w:t>
      </w:r>
      <w:r w:rsidR="0005100E">
        <w:rPr>
          <w:bCs/>
        </w:rPr>
        <w:t xml:space="preserve"> (</w:t>
      </w:r>
      <w:r w:rsidR="0005100E" w:rsidRPr="00870866">
        <w:rPr>
          <w:bCs/>
        </w:rPr>
        <w:t>11 ks</w:t>
      </w:r>
      <w:r w:rsidR="0005100E">
        <w:rPr>
          <w:bCs/>
        </w:rPr>
        <w:t>)</w:t>
      </w:r>
    </w:p>
    <w:p w14:paraId="6AE3B123" w14:textId="3C0F7B0F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 dodanými přepínači, může být i OEM kompatibilní.</w:t>
      </w:r>
    </w:p>
    <w:p w14:paraId="018D8488" w14:textId="221B6B54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 xml:space="preserve">SFP 1G LC SX MMF transceiver </w:t>
      </w:r>
      <w:r w:rsidR="0005100E">
        <w:rPr>
          <w:bCs/>
        </w:rPr>
        <w:t>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07CD95BB" w14:textId="74F5E559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 dodanými přepínači, může být i OEM kompatibilní.</w:t>
      </w:r>
    </w:p>
    <w:p w14:paraId="52224082" w14:textId="660A91D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SFP+ 10G LC SR MMF transceiver kompatibilní s páteřními přepínači</w:t>
      </w:r>
      <w:r w:rsidR="0005100E">
        <w:rPr>
          <w:bCs/>
        </w:rPr>
        <w:t xml:space="preserve"> 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29BAA6CD" w14:textId="5DECFE8F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  <w:i/>
          <w:i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</w:t>
      </w:r>
      <w:r>
        <w:rPr>
          <w:i/>
          <w:iCs/>
        </w:rPr>
        <w:t> </w:t>
      </w:r>
      <w:r w:rsidRPr="0005100E">
        <w:rPr>
          <w:i/>
          <w:iCs/>
        </w:rPr>
        <w:t xml:space="preserve">přepínači </w:t>
      </w:r>
      <w:r w:rsidRPr="00870866">
        <w:rPr>
          <w:i/>
          <w:iCs/>
        </w:rPr>
        <w:t>Extreme Networks řady 7520</w:t>
      </w:r>
      <w:r w:rsidRPr="0005100E">
        <w:rPr>
          <w:i/>
          <w:iCs/>
        </w:rPr>
        <w:t>, může být i OEM kompatibilní.</w:t>
      </w:r>
    </w:p>
    <w:p w14:paraId="1173C860" w14:textId="4FC1081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lastRenderedPageBreak/>
        <w:t>SFP+ 10G LC LR SMF transceiver kompatibilní s páteřními přepínači</w:t>
      </w:r>
      <w:r w:rsidR="0005100E">
        <w:rPr>
          <w:bCs/>
        </w:rPr>
        <w:t xml:space="preserve"> (</w:t>
      </w:r>
      <w:r w:rsidR="0005100E" w:rsidRPr="00870866">
        <w:rPr>
          <w:bCs/>
        </w:rPr>
        <w:t>11 ks</w:t>
      </w:r>
      <w:r w:rsidR="0005100E">
        <w:rPr>
          <w:bCs/>
        </w:rPr>
        <w:t>)</w:t>
      </w:r>
    </w:p>
    <w:p w14:paraId="3595D235" w14:textId="4FADFDDD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</w:t>
      </w:r>
      <w:r>
        <w:rPr>
          <w:i/>
          <w:iCs/>
        </w:rPr>
        <w:t> </w:t>
      </w:r>
      <w:r w:rsidRPr="0005100E">
        <w:rPr>
          <w:i/>
          <w:iCs/>
        </w:rPr>
        <w:t xml:space="preserve">přepínači </w:t>
      </w:r>
      <w:r w:rsidRPr="00870866">
        <w:rPr>
          <w:i/>
          <w:iCs/>
        </w:rPr>
        <w:t>Extreme Networks řady 7520</w:t>
      </w:r>
      <w:r w:rsidRPr="0005100E">
        <w:rPr>
          <w:i/>
          <w:iCs/>
        </w:rPr>
        <w:t>, může být i OEM kompatibilní.</w:t>
      </w:r>
    </w:p>
    <w:p w14:paraId="61DA9828" w14:textId="05F3F82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 1G LC SX MMF transceiver kompatibilní s páteřními přepínači</w:t>
      </w:r>
      <w:r w:rsidR="0005100E">
        <w:rPr>
          <w:bCs/>
        </w:rPr>
        <w:t xml:space="preserve"> (</w:t>
      </w:r>
      <w:r w:rsidR="0005100E" w:rsidRPr="00870866">
        <w:rPr>
          <w:bCs/>
        </w:rPr>
        <w:t>1 ks</w:t>
      </w:r>
      <w:r w:rsidR="0005100E">
        <w:rPr>
          <w:bCs/>
        </w:rPr>
        <w:t>)</w:t>
      </w:r>
    </w:p>
    <w:p w14:paraId="1B1C7A36" w14:textId="2E8928A2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</w:t>
      </w:r>
      <w:r>
        <w:rPr>
          <w:i/>
          <w:iCs/>
        </w:rPr>
        <w:t> </w:t>
      </w:r>
      <w:r w:rsidRPr="0005100E">
        <w:rPr>
          <w:i/>
          <w:iCs/>
        </w:rPr>
        <w:t xml:space="preserve">přepínači </w:t>
      </w:r>
      <w:r w:rsidRPr="00870866">
        <w:rPr>
          <w:i/>
          <w:iCs/>
        </w:rPr>
        <w:t>Extreme Networks řady 7520</w:t>
      </w:r>
      <w:r w:rsidRPr="0005100E">
        <w:rPr>
          <w:i/>
          <w:iCs/>
        </w:rPr>
        <w:t>, může být i OEM kompatibilní.</w:t>
      </w:r>
    </w:p>
    <w:p w14:paraId="0C25FB97" w14:textId="72AF7782" w:rsidR="0005100E" w:rsidRDefault="0005100E" w:rsidP="00C36A3C">
      <w:pPr>
        <w:pStyle w:val="Odstavecseseznamem"/>
        <w:numPr>
          <w:ilvl w:val="1"/>
          <w:numId w:val="19"/>
        </w:numPr>
        <w:rPr>
          <w:bCs/>
        </w:rPr>
      </w:pPr>
      <w:r>
        <w:rPr>
          <w:bCs/>
        </w:rPr>
        <w:t>Patch kabely:</w:t>
      </w:r>
    </w:p>
    <w:p w14:paraId="22CD165C" w14:textId="02B9847C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50/125 OM4 MM v 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 ks</w:t>
      </w:r>
      <w:r w:rsidR="0005100E">
        <w:rPr>
          <w:bCs/>
        </w:rPr>
        <w:t>)</w:t>
      </w:r>
    </w:p>
    <w:p w14:paraId="30DF9DD1" w14:textId="221C3E19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50/125 OM4 MM v 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0DB61EF7" w14:textId="4A8139B6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50/125 OM4 MM v délce 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1ECE9A83" w14:textId="37574CCF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SC-SC Duplex 50/125 OM4 MM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4 ks</w:t>
      </w:r>
      <w:r w:rsidR="0005100E">
        <w:rPr>
          <w:bCs/>
        </w:rPr>
        <w:t>)</w:t>
      </w:r>
    </w:p>
    <w:p w14:paraId="770A5094" w14:textId="11300A00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9/125 OS2 SM v 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 ks</w:t>
      </w:r>
      <w:r w:rsidR="0005100E">
        <w:rPr>
          <w:bCs/>
        </w:rPr>
        <w:t>)</w:t>
      </w:r>
    </w:p>
    <w:p w14:paraId="61C2386C" w14:textId="7433CD75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9/125 OS2 SM v 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15 ks</w:t>
      </w:r>
      <w:r w:rsidR="0005100E">
        <w:rPr>
          <w:bCs/>
        </w:rPr>
        <w:t>)</w:t>
      </w:r>
    </w:p>
    <w:p w14:paraId="72FB6E68" w14:textId="559B0A37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9/125 OS2 SM v délce 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 ks</w:t>
      </w:r>
      <w:r w:rsidR="0005100E">
        <w:rPr>
          <w:bCs/>
        </w:rPr>
        <w:t>)</w:t>
      </w:r>
    </w:p>
    <w:p w14:paraId="32C7908E" w14:textId="32E81B47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SC-SC Duplex 50/125 OS2 MM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4 ks</w:t>
      </w:r>
      <w:r w:rsidR="0005100E">
        <w:rPr>
          <w:bCs/>
        </w:rPr>
        <w:t>)</w:t>
      </w:r>
    </w:p>
    <w:p w14:paraId="2D016C55" w14:textId="682485A8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šedý v délce 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80 ks</w:t>
      </w:r>
      <w:r w:rsidR="0005100E">
        <w:rPr>
          <w:bCs/>
        </w:rPr>
        <w:t>)</w:t>
      </w:r>
    </w:p>
    <w:p w14:paraId="2AA5BD11" w14:textId="129EB279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šedý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70 ks</w:t>
      </w:r>
      <w:r w:rsidR="0005100E">
        <w:rPr>
          <w:bCs/>
        </w:rPr>
        <w:t>)</w:t>
      </w:r>
    </w:p>
    <w:p w14:paraId="3352F3E4" w14:textId="2AD41E7C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šedý v 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70 ks</w:t>
      </w:r>
      <w:r w:rsidR="0005100E">
        <w:rPr>
          <w:bCs/>
        </w:rPr>
        <w:t>)</w:t>
      </w:r>
    </w:p>
    <w:p w14:paraId="10634CF2" w14:textId="1E1CED56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modrý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40 ks</w:t>
      </w:r>
      <w:r w:rsidR="0005100E">
        <w:rPr>
          <w:bCs/>
        </w:rPr>
        <w:t>)</w:t>
      </w:r>
    </w:p>
    <w:p w14:paraId="4C8B8E98" w14:textId="26096F82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modrý v 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80 ks</w:t>
      </w:r>
      <w:r w:rsidR="0005100E">
        <w:rPr>
          <w:bCs/>
        </w:rPr>
        <w:t>)</w:t>
      </w:r>
    </w:p>
    <w:p w14:paraId="20EA3D47" w14:textId="33852E69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modrý v délce 1,5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70 ks</w:t>
      </w:r>
      <w:r w:rsidR="0005100E">
        <w:rPr>
          <w:bCs/>
        </w:rPr>
        <w:t>)</w:t>
      </w:r>
    </w:p>
    <w:p w14:paraId="553DA163" w14:textId="25053792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</w:t>
      </w:r>
      <w:proofErr w:type="gramStart"/>
      <w:r w:rsidRPr="00870866">
        <w:rPr>
          <w:bCs/>
        </w:rPr>
        <w:t>6A</w:t>
      </w:r>
      <w:proofErr w:type="gramEnd"/>
      <w:r w:rsidRPr="00870866">
        <w:rPr>
          <w:bCs/>
        </w:rPr>
        <w:t xml:space="preserve"> STP modrý v délce 1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30 ks</w:t>
      </w:r>
      <w:r w:rsidR="0005100E">
        <w:rPr>
          <w:bCs/>
        </w:rPr>
        <w:t>)</w:t>
      </w:r>
    </w:p>
    <w:p w14:paraId="1438DDD2" w14:textId="77777777" w:rsidR="0005100E" w:rsidRDefault="0005100E" w:rsidP="0005100E"/>
    <w:p w14:paraId="4604C4C8" w14:textId="77777777" w:rsidR="0005100E" w:rsidRDefault="00870866" w:rsidP="00C36A3C">
      <w:pPr>
        <w:pStyle w:val="Nadpis"/>
      </w:pPr>
      <w:r w:rsidRPr="00870866">
        <w:t xml:space="preserve">Rozšíření strukturované kabeláže </w:t>
      </w:r>
    </w:p>
    <w:p w14:paraId="1CDF07BA" w14:textId="0C3D55B9" w:rsidR="00870866" w:rsidRPr="00870866" w:rsidRDefault="00C36A3C" w:rsidP="0005100E">
      <w:r>
        <w:t xml:space="preserve">Předmětem plnění veřejné zakázky je dále rozšíření strukturované kabeláže spočívající ve </w:t>
      </w:r>
      <w:r w:rsidR="00870866" w:rsidRPr="00870866">
        <w:t xml:space="preserve">vytvoření 162 ks chybějících datových zásuvek pro připojení </w:t>
      </w:r>
      <w:proofErr w:type="spellStart"/>
      <w:r w:rsidR="00870866" w:rsidRPr="00870866">
        <w:t>WiFi</w:t>
      </w:r>
      <w:proofErr w:type="spellEnd"/>
      <w:r w:rsidR="00870866" w:rsidRPr="00870866">
        <w:t xml:space="preserve"> A.</w:t>
      </w:r>
    </w:p>
    <w:p w14:paraId="0AF9A321" w14:textId="77777777" w:rsidR="00870866" w:rsidRPr="00870866" w:rsidRDefault="00870866" w:rsidP="00870866"/>
    <w:p w14:paraId="58EF117D" w14:textId="25F3E588" w:rsidR="00870866" w:rsidRDefault="00870866" w:rsidP="00870866">
      <w:r w:rsidRPr="00870866">
        <w:rPr>
          <w:b/>
        </w:rPr>
        <w:t>Rozmístění AP a SK v budovách</w:t>
      </w:r>
    </w:p>
    <w:tbl>
      <w:tblPr>
        <w:tblW w:w="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36A3C" w:rsidRPr="00C36A3C" w14:paraId="6E3DDBD4" w14:textId="77777777" w:rsidTr="00C36A3C">
        <w:trPr>
          <w:trHeight w:val="300"/>
        </w:trPr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1AC6B27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sz w:val="18"/>
                <w:szCs w:val="18"/>
                <w:lang w:eastAsia="cs-CZ"/>
                <w14:ligatures w14:val="none"/>
              </w:rPr>
              <w:t>Pavilon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53B9A6F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sz w:val="18"/>
                <w:szCs w:val="18"/>
                <w:lang w:eastAsia="cs-CZ"/>
                <w14:ligatures w14:val="none"/>
              </w:rPr>
              <w:t>Podlaží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144852B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sz w:val="18"/>
                <w:szCs w:val="18"/>
                <w:lang w:eastAsia="cs-CZ"/>
                <w14:ligatures w14:val="none"/>
              </w:rPr>
              <w:t>Počet AP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3599F44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sz w:val="18"/>
                <w:szCs w:val="18"/>
                <w:lang w:eastAsia="cs-CZ"/>
                <w14:ligatures w14:val="none"/>
              </w:rPr>
              <w:t>Počet SK</w:t>
            </w:r>
          </w:p>
        </w:tc>
      </w:tr>
      <w:tr w:rsidR="00C36A3C" w:rsidRPr="00C36A3C" w14:paraId="1AB6D6B1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7342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08717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2.PP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F4DB8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95F3C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</w:tr>
      <w:tr w:rsidR="00C36A3C" w:rsidRPr="00C36A3C" w14:paraId="5B2E71FE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57084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E4C28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1.PP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07033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1336E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5BD9FA2C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D8061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ECB5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7BB5C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F95FB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6201F4FE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5F4C2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F8D8F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A87E6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062D3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0B148DA1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2095D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0D2E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7256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71FD7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3DC9A4C1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8A081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559D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1.PP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3332E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35174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57F9946A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C243E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B49D55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04B59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B781C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36A3C" w:rsidRPr="00C36A3C" w14:paraId="7B820CC9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BF956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D363A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A3430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4F4E7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</w:tr>
      <w:tr w:rsidR="00C36A3C" w:rsidRPr="00C36A3C" w14:paraId="59211A3C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3167E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6B6CD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3A89B5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C1C14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36A3C" w:rsidRPr="00C36A3C" w14:paraId="2E7D41A5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F84E4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DFFBD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CE5A1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62705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56EA7FA2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4C258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90DB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A0764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E7711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31462715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F427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6B10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92C1C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F928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</w:tr>
      <w:tr w:rsidR="00C36A3C" w:rsidRPr="00C36A3C" w14:paraId="3B67763C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560DC5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lastRenderedPageBreak/>
              <w:t>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5B20C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06110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C8B22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5169EB7B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2F9D3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AEEA0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55A88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2DFDA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</w:t>
            </w:r>
          </w:p>
        </w:tc>
      </w:tr>
      <w:tr w:rsidR="00C36A3C" w:rsidRPr="00C36A3C" w14:paraId="283E41A7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7B9D7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5562A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B795B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F8360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36A3C" w:rsidRPr="00C36A3C" w14:paraId="77721370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696E9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C4AFA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2C1C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0C6A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</w:tr>
      <w:tr w:rsidR="00C36A3C" w:rsidRPr="00C36A3C" w14:paraId="081B1795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60ABE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B0368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27CE8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29E3F5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48D7BA53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645FF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C30A8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76ED6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7E498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</w:tr>
      <w:tr w:rsidR="00C36A3C" w:rsidRPr="00C36A3C" w14:paraId="108D6D98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3ECC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6F53F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F574D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8F250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9</w:t>
            </w:r>
          </w:p>
        </w:tc>
      </w:tr>
      <w:tr w:rsidR="00C36A3C" w:rsidRPr="00C36A3C" w14:paraId="19441A38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B21C1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EC56D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CCC16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23C4D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</w:tr>
      <w:tr w:rsidR="00C36A3C" w:rsidRPr="00C36A3C" w14:paraId="5827D7FD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AE983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1F62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1C37C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9423A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</w:t>
            </w:r>
          </w:p>
        </w:tc>
      </w:tr>
      <w:tr w:rsidR="00C36A3C" w:rsidRPr="00C36A3C" w14:paraId="698BAB7E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95F275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833B6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8AFAD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6FAA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0B9D2976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3EE92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83319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359E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6DF00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10AC3F92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C583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E08F8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EF9A5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01DDF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</w:tr>
      <w:tr w:rsidR="00C36A3C" w:rsidRPr="00C36A3C" w14:paraId="57B0219C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0F6F6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32629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D2B5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73DB47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3C93CCC9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06505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43E37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79C38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4F5C4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1E2F9901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40F5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6C572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58BDB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7254E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2E0A08EB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0D7D9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98464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DCB2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F715B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211E7550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04F29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J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DC69A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CEAFE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3EB7D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</w:t>
            </w:r>
          </w:p>
        </w:tc>
      </w:tr>
      <w:tr w:rsidR="00C36A3C" w:rsidRPr="00C36A3C" w14:paraId="7EC7CA34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87543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J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B730E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DCD79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48112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</w:t>
            </w:r>
          </w:p>
        </w:tc>
      </w:tr>
      <w:tr w:rsidR="00C36A3C" w:rsidRPr="00C36A3C" w14:paraId="0F04736D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A52B7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809D3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1D0B6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4BF50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</w:t>
            </w:r>
          </w:p>
        </w:tc>
      </w:tr>
      <w:tr w:rsidR="00C36A3C" w:rsidRPr="00C36A3C" w14:paraId="5B179ADE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CDA9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E9A87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1.PP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F0DB7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1005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36A3C" w:rsidRPr="00C36A3C" w14:paraId="5BF00882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9D217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1ADFB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05AD33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D2541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36A3C" w:rsidRPr="00C36A3C" w14:paraId="64E0985D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358A4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EC574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DC43F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8FF8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</w:tr>
      <w:tr w:rsidR="00C36A3C" w:rsidRPr="00C36A3C" w14:paraId="35E62CEE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42275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EB07B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1.PP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95028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8DD9B8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36A3C" w:rsidRPr="00C36A3C" w14:paraId="190EE2EF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566C1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CBE9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773D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144E5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250F53AD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24B78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A2760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98158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7FEF6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7</w:t>
            </w:r>
          </w:p>
        </w:tc>
      </w:tr>
      <w:tr w:rsidR="00C36A3C" w:rsidRPr="00C36A3C" w14:paraId="70CAA04D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09DC0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49E922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817DD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C6702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35F48AFD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74931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BF9EE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FDCC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F4A1EC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2071D43C" w14:textId="77777777" w:rsidTr="00C36A3C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4E4DB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4C49F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3.NP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EB9F0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F00161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</w:p>
        </w:tc>
      </w:tr>
      <w:tr w:rsidR="00C36A3C" w:rsidRPr="00C36A3C" w14:paraId="24C5C55B" w14:textId="77777777" w:rsidTr="00C36A3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E7CE26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Rezerva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DC652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C36A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21E28A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C7949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C36A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36A3C" w:rsidRPr="00C36A3C" w14:paraId="2D7295B1" w14:textId="77777777" w:rsidTr="00C36A3C">
        <w:trPr>
          <w:trHeight w:val="300"/>
        </w:trPr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5230F3B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3B03CF5D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1C36E89F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0186DA55" w14:textId="77777777" w:rsidR="00C36A3C" w:rsidRPr="00C36A3C" w:rsidRDefault="00C36A3C" w:rsidP="00C36A3C">
            <w:pPr>
              <w:suppressAutoHyphens w:val="0"/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C36A3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162</w:t>
            </w:r>
          </w:p>
        </w:tc>
      </w:tr>
    </w:tbl>
    <w:p w14:paraId="33499B74" w14:textId="77777777" w:rsidR="00870866" w:rsidRDefault="00870866" w:rsidP="00870866"/>
    <w:p w14:paraId="2ED402C7" w14:textId="744596BB" w:rsidR="00870866" w:rsidRDefault="00C36A3C" w:rsidP="00870866">
      <w:r>
        <w:t>Podrobné výkresy umístění jsou uvedeny v příloze č. 6a zadávací dokumentace.</w:t>
      </w:r>
    </w:p>
    <w:p w14:paraId="7DB12A8F" w14:textId="587668D6" w:rsidR="00E24C5C" w:rsidRDefault="00E24C5C" w:rsidP="00870866">
      <w:r>
        <w:t xml:space="preserve">Požadované práce a dodávky budou provedeny </w:t>
      </w:r>
      <w:r w:rsidRPr="00E24C5C">
        <w:t>v souladu s technickými a právními předpisy platnými v České republice v době provádění díla. Pro provedení díla jsou závazné všechny platné normy ČSN.</w:t>
      </w:r>
    </w:p>
    <w:p w14:paraId="2999C1A6" w14:textId="77777777" w:rsidR="00012D47" w:rsidRDefault="00E24C5C" w:rsidP="00012D47">
      <w:r>
        <w:t xml:space="preserve">Dodavatel </w:t>
      </w:r>
      <w:r w:rsidRPr="00E24C5C">
        <w:t xml:space="preserve">je povinen informovat </w:t>
      </w:r>
      <w:r>
        <w:t xml:space="preserve">zadavatele </w:t>
      </w:r>
      <w:r w:rsidRPr="00E24C5C">
        <w:t xml:space="preserve">o skutečnostech majících vliv na plnění </w:t>
      </w:r>
      <w:r>
        <w:t>předmětu veřejné zakázky</w:t>
      </w:r>
      <w:r w:rsidRPr="00E24C5C">
        <w:t xml:space="preserve">, a to neprodleně, nejpozději následující pracovní den poté, kdy příslušná skutečnost nastane nebo </w:t>
      </w:r>
      <w:r w:rsidR="00012D47">
        <w:t xml:space="preserve">dodavatel </w:t>
      </w:r>
      <w:r w:rsidRPr="00E24C5C">
        <w:t xml:space="preserve">zjistí, že by nastat mohla. Informace dle předchozí věty budou zaslány elektronickou poštou na adresu </w:t>
      </w:r>
      <w:r w:rsidR="00012D47">
        <w:t xml:space="preserve">kontaktní osoby zadavatele. Dodavatel </w:t>
      </w:r>
      <w:r w:rsidR="00012D47" w:rsidRPr="00012D47">
        <w:t xml:space="preserve">je povinen informovat </w:t>
      </w:r>
      <w:r w:rsidR="00012D47">
        <w:t xml:space="preserve">zadavatele </w:t>
      </w:r>
      <w:r w:rsidR="00012D47" w:rsidRPr="00012D47">
        <w:t>zejména:</w:t>
      </w:r>
    </w:p>
    <w:p w14:paraId="22D9A84B" w14:textId="33148A68" w:rsidR="00012D47" w:rsidRDefault="00012D47" w:rsidP="00012D47">
      <w:pPr>
        <w:pStyle w:val="Odstavecseseznamem"/>
        <w:numPr>
          <w:ilvl w:val="0"/>
          <w:numId w:val="27"/>
        </w:numPr>
      </w:pPr>
      <w:r>
        <w:t>Z</w:t>
      </w:r>
      <w:r w:rsidRPr="00012D47">
        <w:t>jistí</w:t>
      </w:r>
      <w:r w:rsidRPr="00012D47">
        <w:noBreakHyphen/>
        <w:t xml:space="preserve">li při provádění díla skryté překážky bránící řádnému provedení díla. </w:t>
      </w:r>
      <w:r>
        <w:t xml:space="preserve">Dodavatel </w:t>
      </w:r>
      <w:r w:rsidRPr="00012D47">
        <w:t>je povinen navrhnout objednateli další postup</w:t>
      </w:r>
      <w:r>
        <w:t>.</w:t>
      </w:r>
    </w:p>
    <w:p w14:paraId="3C278D87" w14:textId="3B02A7E7" w:rsidR="00012D47" w:rsidRDefault="007D1F32" w:rsidP="00012D47">
      <w:pPr>
        <w:pStyle w:val="Odstavecseseznamem"/>
        <w:numPr>
          <w:ilvl w:val="0"/>
          <w:numId w:val="27"/>
        </w:numPr>
      </w:pPr>
      <w:r>
        <w:t>V</w:t>
      </w:r>
      <w:r w:rsidR="00012D47" w:rsidRPr="00012D47">
        <w:t> případ</w:t>
      </w:r>
      <w:r>
        <w:t>ě</w:t>
      </w:r>
      <w:r w:rsidR="00012D47" w:rsidRPr="00012D47">
        <w:t xml:space="preserve"> nevhodnosti realizace vyžadovaných prací</w:t>
      </w:r>
      <w:r w:rsidR="00012D47">
        <w:t>.</w:t>
      </w:r>
    </w:p>
    <w:p w14:paraId="54CF5CBC" w14:textId="719E18F8" w:rsidR="00E24C5C" w:rsidRDefault="00012D47" w:rsidP="00012D47">
      <w:pPr>
        <w:pStyle w:val="Odstavecseseznamem"/>
        <w:numPr>
          <w:ilvl w:val="0"/>
          <w:numId w:val="27"/>
        </w:numPr>
      </w:pPr>
      <w:r>
        <w:t>Z</w:t>
      </w:r>
      <w:r w:rsidRPr="00012D47">
        <w:t>jistí</w:t>
      </w:r>
      <w:r w:rsidRPr="00012D47">
        <w:noBreakHyphen/>
        <w:t xml:space="preserve">li v projektové dokumentaci vady. </w:t>
      </w:r>
      <w:r>
        <w:t xml:space="preserve">Zadavatel </w:t>
      </w:r>
      <w:r w:rsidRPr="00012D47">
        <w:t xml:space="preserve">se na základě informace </w:t>
      </w:r>
      <w:r>
        <w:t xml:space="preserve">dodavatele </w:t>
      </w:r>
      <w:r w:rsidRPr="00012D47">
        <w:t xml:space="preserve">vyjádří, zda budou vady odstraněny, či na provedení díla dle vadné projektové dokumentace trvá. Pokud se </w:t>
      </w:r>
      <w:r>
        <w:t xml:space="preserve">zadavatel </w:t>
      </w:r>
      <w:r w:rsidRPr="00012D47">
        <w:t xml:space="preserve">rozhodne vady odstranit a jejich odstranění bude trvat déle než týden, dohodnou se </w:t>
      </w:r>
      <w:r>
        <w:t xml:space="preserve">dodavatel </w:t>
      </w:r>
      <w:r w:rsidRPr="00012D47">
        <w:t>a </w:t>
      </w:r>
      <w:r>
        <w:t xml:space="preserve">zadavatel </w:t>
      </w:r>
      <w:r w:rsidRPr="00012D47">
        <w:t>na dalším postupu do doby odstranění vady.</w:t>
      </w:r>
    </w:p>
    <w:p w14:paraId="0A8F431E" w14:textId="2A823065" w:rsidR="00012D47" w:rsidRPr="00012D47" w:rsidRDefault="00012D47" w:rsidP="00012D47">
      <w:pPr>
        <w:rPr>
          <w:b/>
          <w:bCs/>
        </w:rPr>
      </w:pPr>
      <w:r w:rsidRPr="00012D47">
        <w:rPr>
          <w:b/>
          <w:bCs/>
        </w:rPr>
        <w:lastRenderedPageBreak/>
        <w:t xml:space="preserve">Dodavatel bere na vědomí, že práce budou probíhat za plného provozu oddělení </w:t>
      </w:r>
      <w:r>
        <w:rPr>
          <w:b/>
          <w:bCs/>
        </w:rPr>
        <w:t xml:space="preserve">nemocnice </w:t>
      </w:r>
      <w:r w:rsidRPr="00012D47">
        <w:rPr>
          <w:b/>
          <w:bCs/>
        </w:rPr>
        <w:t>a</w:t>
      </w:r>
      <w:r>
        <w:rPr>
          <w:b/>
          <w:bCs/>
        </w:rPr>
        <w:t> </w:t>
      </w:r>
      <w:r w:rsidRPr="00012D47">
        <w:rPr>
          <w:b/>
          <w:bCs/>
        </w:rPr>
        <w:t>bude respektovat, že časový harmonogram prací bude navržen tak, aby byl provoz jednotlivých oddělení omezen co nejméně, což může znamenat realizaci předmětu plnění v odpoledních a</w:t>
      </w:r>
      <w:r>
        <w:rPr>
          <w:b/>
          <w:bCs/>
        </w:rPr>
        <w:t>/nebo</w:t>
      </w:r>
      <w:r w:rsidRPr="00012D47">
        <w:rPr>
          <w:b/>
          <w:bCs/>
        </w:rPr>
        <w:t xml:space="preserve"> nočních hodinách a o víkendech.</w:t>
      </w:r>
    </w:p>
    <w:bookmarkEnd w:id="4"/>
    <w:p w14:paraId="4C4198AD" w14:textId="01F8EB69" w:rsidR="00012D47" w:rsidRDefault="00012D47" w:rsidP="00012D47">
      <w:r>
        <w:t xml:space="preserve">Dodavatel </w:t>
      </w:r>
      <w:r w:rsidRPr="00012D47">
        <w:t xml:space="preserve">poskytuje </w:t>
      </w:r>
      <w:r>
        <w:t xml:space="preserve">zadavateli </w:t>
      </w:r>
      <w:r w:rsidRPr="00012D47">
        <w:t>na provedené dílo záruku za jakost (dále jen „záruka“) ve smyslu § 2619 a § 2113 a násl. občanského zákoníku, a to v délce:</w:t>
      </w:r>
    </w:p>
    <w:p w14:paraId="335DE84B" w14:textId="51196EBA" w:rsidR="00012D47" w:rsidRDefault="00012D47" w:rsidP="00012D47">
      <w:pPr>
        <w:pStyle w:val="Odstavecseseznamem"/>
        <w:numPr>
          <w:ilvl w:val="0"/>
          <w:numId w:val="30"/>
        </w:numPr>
      </w:pPr>
      <w:r w:rsidRPr="00012D47">
        <w:t>60 měsíců na provedené práce a dodávky, pokud nejsou uvedeny v písm. b)</w:t>
      </w:r>
      <w:r w:rsidR="007D1F32">
        <w:t xml:space="preserve"> nebo c)</w:t>
      </w:r>
      <w:r w:rsidRPr="00012D47">
        <w:t xml:space="preserve"> tohoto odstavce</w:t>
      </w:r>
      <w:r w:rsidR="007D1F32">
        <w:t>;</w:t>
      </w:r>
    </w:p>
    <w:p w14:paraId="77EE8581" w14:textId="70B3E95D" w:rsidR="00012D47" w:rsidRDefault="00012D47" w:rsidP="00012D47">
      <w:pPr>
        <w:pStyle w:val="Odstavecseseznamem"/>
        <w:numPr>
          <w:ilvl w:val="0"/>
          <w:numId w:val="30"/>
        </w:numPr>
      </w:pPr>
      <w:r w:rsidRPr="00012D47">
        <w:t>na </w:t>
      </w:r>
      <w:r w:rsidR="007D1F32">
        <w:t xml:space="preserve">příslušenství </w:t>
      </w:r>
      <w:r w:rsidRPr="00012D47">
        <w:t>v délce shodné se zárukou poskytovanou výrobcem, nejméně však 24 měsíců</w:t>
      </w:r>
      <w:r w:rsidR="007D1F32">
        <w:t>;</w:t>
      </w:r>
    </w:p>
    <w:p w14:paraId="5F41F86D" w14:textId="69C3F868" w:rsidR="007D1F32" w:rsidRPr="00012D47" w:rsidRDefault="007D1F32" w:rsidP="00012D47">
      <w:pPr>
        <w:pStyle w:val="Odstavecseseznamem"/>
        <w:numPr>
          <w:ilvl w:val="0"/>
          <w:numId w:val="30"/>
        </w:numPr>
      </w:pPr>
      <w:r>
        <w:t xml:space="preserve">na strukturovanou kabeláž </w:t>
      </w:r>
      <w:r w:rsidRPr="00012D47">
        <w:t>v délce shodné se zárukou poskytovanou výrobcem</w:t>
      </w:r>
      <w:r>
        <w:t>, nejméně však 20 let.</w:t>
      </w:r>
    </w:p>
    <w:p w14:paraId="195CC0D9" w14:textId="526CFF05" w:rsidR="000438FE" w:rsidRDefault="00012D47" w:rsidP="00012D47">
      <w:r w:rsidRPr="00012D47">
        <w:t xml:space="preserve">Záruční doba začíná běžet dnem převzetí díla </w:t>
      </w:r>
      <w:r>
        <w:t>zadavatelem</w:t>
      </w:r>
      <w:r w:rsidRPr="00012D47">
        <w:t xml:space="preserve">. Záruční doba se staví po dobu, po kterou nemůže </w:t>
      </w:r>
      <w:r>
        <w:t xml:space="preserve">zadavatel </w:t>
      </w:r>
      <w:r w:rsidRPr="00012D47">
        <w:t xml:space="preserve">dílo řádně užívat pro vady, za které nese odpovědnost </w:t>
      </w:r>
      <w:r>
        <w:t>dodavatel</w:t>
      </w:r>
      <w:r w:rsidRPr="00012D47">
        <w:t xml:space="preserve">. </w:t>
      </w:r>
    </w:p>
    <w:p w14:paraId="73CDBB83" w14:textId="1931575F" w:rsidR="00012D47" w:rsidRDefault="00012D47" w:rsidP="00012D47">
      <w:r>
        <w:t xml:space="preserve">Dodavatel </w:t>
      </w:r>
      <w:r w:rsidRPr="00012D47">
        <w:t>započne s odstraněním vady nejpozději do </w:t>
      </w:r>
      <w:r w:rsidR="007D1F32">
        <w:rPr>
          <w:bCs/>
        </w:rPr>
        <w:t>3</w:t>
      </w:r>
      <w:r w:rsidRPr="00012D47">
        <w:t> </w:t>
      </w:r>
      <w:r w:rsidR="007D1F32">
        <w:t xml:space="preserve">pracovních </w:t>
      </w:r>
      <w:r w:rsidRPr="00012D47">
        <w:rPr>
          <w:bCs/>
        </w:rPr>
        <w:t>dnů</w:t>
      </w:r>
      <w:r w:rsidRPr="00012D47">
        <w:t xml:space="preserve"> od doručení oznámení o vadě. Nezapočne</w:t>
      </w:r>
      <w:r w:rsidRPr="00012D47">
        <w:noBreakHyphen/>
        <w:t xml:space="preserve">li </w:t>
      </w:r>
      <w:r>
        <w:t xml:space="preserve">dodavatel </w:t>
      </w:r>
      <w:r w:rsidRPr="00012D47">
        <w:t xml:space="preserve">s odstraněním vady ve stanovené lhůtě, je </w:t>
      </w:r>
      <w:r>
        <w:t xml:space="preserve">zadavatel </w:t>
      </w:r>
      <w:r w:rsidRPr="00012D47">
        <w:t xml:space="preserve">oprávněn zajistit odstranění vady na náklady </w:t>
      </w:r>
      <w:r>
        <w:t xml:space="preserve">dodavatele </w:t>
      </w:r>
      <w:r w:rsidRPr="00012D47">
        <w:t>u jiné odborné osoby. Vada bude odstraněna nejpozději do </w:t>
      </w:r>
      <w:r w:rsidR="007D1F32">
        <w:rPr>
          <w:bCs/>
        </w:rPr>
        <w:t xml:space="preserve">30 </w:t>
      </w:r>
      <w:r w:rsidRPr="00012D47">
        <w:rPr>
          <w:bCs/>
        </w:rPr>
        <w:t xml:space="preserve">dnů </w:t>
      </w:r>
      <w:r w:rsidRPr="00012D47">
        <w:t xml:space="preserve">ode dne doručení oznámení o vadě. </w:t>
      </w:r>
    </w:p>
    <w:p w14:paraId="10ED3C3C" w14:textId="77777777" w:rsidR="00AD1C7A" w:rsidRDefault="00AD1C7A" w:rsidP="003369D6"/>
    <w:p w14:paraId="319ACA58" w14:textId="77777777" w:rsidR="00012D47" w:rsidRDefault="00012D47" w:rsidP="003369D6">
      <w:pPr>
        <w:sectPr w:rsidR="00012D47" w:rsidSect="0005100E">
          <w:headerReference w:type="default" r:id="rId7"/>
          <w:footerReference w:type="default" r:id="rId8"/>
          <w:headerReference w:type="first" r:id="rId9"/>
          <w:pgSz w:w="11906" w:h="16838"/>
          <w:pgMar w:top="2127" w:right="1417" w:bottom="993" w:left="1417" w:header="708" w:footer="492" w:gutter="0"/>
          <w:cols w:space="708"/>
          <w:formProt w:val="0"/>
          <w:docGrid w:linePitch="360"/>
        </w:sectPr>
      </w:pPr>
    </w:p>
    <w:p w14:paraId="58D3F530" w14:textId="77777777" w:rsidR="000438FE" w:rsidRDefault="000438FE" w:rsidP="003369D6"/>
    <w:p w14:paraId="7F10BAB1" w14:textId="77777777" w:rsidR="003B3BE0" w:rsidRDefault="00AD1C7A" w:rsidP="003369D6">
      <w:pPr>
        <w:pStyle w:val="NadpisA"/>
      </w:pPr>
      <w:bookmarkStart w:id="6" w:name="_Toc140239587"/>
      <w:bookmarkStart w:id="7" w:name="_Toc193187861"/>
      <w:r>
        <w:t>POŽADOVANÉ VLASTNOSTI A FUNKCE</w:t>
      </w:r>
    </w:p>
    <w:bookmarkEnd w:id="6"/>
    <w:bookmarkEnd w:id="7"/>
    <w:p w14:paraId="1BD50C2E" w14:textId="649BB4A5" w:rsidR="00640528" w:rsidRDefault="000972E2" w:rsidP="003B3BE0">
      <w:pPr>
        <w:pStyle w:val="Nadpis"/>
      </w:pPr>
      <w:r>
        <w:t>Přístupové body (Access pointy)</w:t>
      </w:r>
    </w:p>
    <w:tbl>
      <w:tblPr>
        <w:tblW w:w="13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  <w:gridCol w:w="1417"/>
        <w:gridCol w:w="1983"/>
      </w:tblGrid>
      <w:tr w:rsidR="00AD1C7A" w:rsidRPr="00AD1C7A" w14:paraId="169A8674" w14:textId="77777777" w:rsidTr="00AD1C7A">
        <w:trPr>
          <w:trHeight w:val="1020"/>
        </w:trPr>
        <w:tc>
          <w:tcPr>
            <w:tcW w:w="10060" w:type="dxa"/>
            <w:shd w:val="clear" w:color="auto" w:fill="BFBFBF" w:themeFill="background1" w:themeFillShade="BF"/>
            <w:noWrap/>
            <w:hideMark/>
          </w:tcPr>
          <w:p w14:paraId="4DA598BE" w14:textId="72D687A9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  <w:r w:rsidRPr="003369D6">
              <w:rPr>
                <w:rFonts w:cs="Arial"/>
                <w:b/>
                <w:bCs/>
                <w:sz w:val="18"/>
                <w:szCs w:val="18"/>
              </w:rPr>
              <w:t>Požadovaný parametr nebo funkce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3A851E5F" w14:textId="559648FE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3369D6">
              <w:rPr>
                <w:rFonts w:cs="Arial"/>
                <w:b/>
                <w:bCs/>
                <w:sz w:val="18"/>
                <w:szCs w:val="18"/>
              </w:rPr>
              <w:t>Splnění požadovaných parametrů (ANO/NE)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  <w:hideMark/>
          </w:tcPr>
          <w:p w14:paraId="413B2756" w14:textId="77777777" w:rsidR="00AD1C7A" w:rsidRDefault="00AD1C7A" w:rsidP="00AD1C7A">
            <w:pPr>
              <w:suppressAutoHyphens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D1C7A">
              <w:rPr>
                <w:rFonts w:cs="Arial"/>
                <w:b/>
                <w:bCs/>
                <w:sz w:val="18"/>
                <w:szCs w:val="18"/>
              </w:rPr>
              <w:t xml:space="preserve">Komentář </w:t>
            </w:r>
          </w:p>
          <w:p w14:paraId="1FEB07E4" w14:textId="2B1E3745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D1C7A">
              <w:rPr>
                <w:rFonts w:cs="Arial"/>
                <w:sz w:val="18"/>
                <w:szCs w:val="18"/>
              </w:rPr>
              <w:t>(Název dodávaného zařízení / označení (PN))</w:t>
            </w:r>
          </w:p>
        </w:tc>
      </w:tr>
      <w:tr w:rsidR="00AD1C7A" w:rsidRPr="00AD1C7A" w14:paraId="140C64D3" w14:textId="77777777" w:rsidTr="00AD1C7A">
        <w:trPr>
          <w:trHeight w:val="288"/>
        </w:trPr>
        <w:tc>
          <w:tcPr>
            <w:tcW w:w="10060" w:type="dxa"/>
            <w:shd w:val="clear" w:color="000000" w:fill="FFFFFF"/>
            <w:noWrap/>
            <w:vAlign w:val="center"/>
            <w:hideMark/>
          </w:tcPr>
          <w:p w14:paraId="4124D4B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FB6190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000000" w:fill="FFFFFF"/>
            <w:noWrap/>
            <w:vAlign w:val="bottom"/>
            <w:hideMark/>
          </w:tcPr>
          <w:p w14:paraId="67E9EBE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D43C539" w14:textId="77777777" w:rsidTr="00AD1C7A">
        <w:trPr>
          <w:trHeight w:val="288"/>
        </w:trPr>
        <w:tc>
          <w:tcPr>
            <w:tcW w:w="10060" w:type="dxa"/>
            <w:shd w:val="clear" w:color="000000" w:fill="D9D9D9"/>
            <w:noWrap/>
            <w:vAlign w:val="center"/>
            <w:hideMark/>
          </w:tcPr>
          <w:p w14:paraId="3A84ACF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Architektura a základní vlastnosti AP</w:t>
            </w:r>
          </w:p>
        </w:tc>
        <w:tc>
          <w:tcPr>
            <w:tcW w:w="1417" w:type="dxa"/>
            <w:shd w:val="clear" w:color="000000" w:fill="D9D9D9"/>
            <w:noWrap/>
            <w:vAlign w:val="bottom"/>
            <w:hideMark/>
          </w:tcPr>
          <w:p w14:paraId="0147FDD7" w14:textId="400512B3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1983" w:type="dxa"/>
            <w:shd w:val="clear" w:color="000000" w:fill="D9D9D9"/>
            <w:noWrap/>
            <w:vAlign w:val="bottom"/>
            <w:hideMark/>
          </w:tcPr>
          <w:p w14:paraId="41E1C4B2" w14:textId="4CFA2D98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</w:tr>
      <w:tr w:rsidR="00AD1C7A" w:rsidRPr="00AD1C7A" w14:paraId="3C3ADB66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BF1D18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Enterprise AP pro vnitřní použití, pracující v třech Wi-Fi pásmech současně s možností volby režimu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DBE7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9C095A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A26D64A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38FFB1D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Integrované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IoT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rádio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1E0C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E994CE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3E535D04" w14:textId="77777777" w:rsidTr="00AD1C7A">
        <w:trPr>
          <w:trHeight w:val="552"/>
        </w:trPr>
        <w:tc>
          <w:tcPr>
            <w:tcW w:w="10060" w:type="dxa"/>
            <w:shd w:val="clear" w:color="auto" w:fill="auto"/>
            <w:vAlign w:val="center"/>
            <w:hideMark/>
          </w:tcPr>
          <w:p w14:paraId="2EF78F1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Variabilita správy, nasazení a managementu AP (virtuální kontrolér na AP, fyzický kontrolér, virtuální kontrolér, public-cloud management)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FC34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032F7A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47689351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F2447C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Integrovaná DPI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Deep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Packet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Inspection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) pro aplikační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vizibilitu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a řízení bez vlivu na výkonnost Wi-Fi sítě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D733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4395B1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1D1EDB38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1E85DF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TPM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Trusted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Platform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Module)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2BB7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D0DFFE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508D6950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3CCC3E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CCF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Cellular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Coexistence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Filter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pro minimalizaci vlivu rušení mobilních sítí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30F5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2401C6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FC061AD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5C0E051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Certifikace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Wi-FI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CERTIFIED 6 od Wi-Fi aliance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6C0C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84F280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5BBE333D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026FF35B" w14:textId="18BCA3B8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počet SSID na každé rádio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8x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A35E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05298D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E46F165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2AC0A1C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standardu Wi-Fi6E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CCFE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550227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1DC9FC3C" w14:textId="77777777" w:rsidTr="00AD1C7A">
        <w:trPr>
          <w:trHeight w:val="555"/>
        </w:trPr>
        <w:tc>
          <w:tcPr>
            <w:tcW w:w="10060" w:type="dxa"/>
            <w:shd w:val="clear" w:color="auto" w:fill="auto"/>
            <w:vAlign w:val="center"/>
            <w:hideMark/>
          </w:tcPr>
          <w:p w14:paraId="52A7721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Maximální spotřeba zařízení včetně všech zapnutých funkcí do </w:t>
            </w:r>
            <w:proofErr w:type="gram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17W</w:t>
            </w:r>
            <w:proofErr w:type="gram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při použití napájení síťového přepínače přes IEEE 802.3at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978E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9AF1BC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2B03B48" w14:textId="77777777" w:rsidTr="00AD1C7A">
        <w:trPr>
          <w:trHeight w:val="288"/>
        </w:trPr>
        <w:tc>
          <w:tcPr>
            <w:tcW w:w="10060" w:type="dxa"/>
            <w:shd w:val="clear" w:color="000000" w:fill="D9D9D9"/>
            <w:vAlign w:val="center"/>
            <w:hideMark/>
          </w:tcPr>
          <w:p w14:paraId="68DE5A3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Rádiová specifikace a vlastnosti</w:t>
            </w:r>
          </w:p>
        </w:tc>
        <w:tc>
          <w:tcPr>
            <w:tcW w:w="1417" w:type="dxa"/>
            <w:shd w:val="clear" w:color="000000" w:fill="D9D9D9"/>
            <w:noWrap/>
            <w:vAlign w:val="bottom"/>
            <w:hideMark/>
          </w:tcPr>
          <w:p w14:paraId="1AF500A2" w14:textId="0960A941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1983" w:type="dxa"/>
            <w:shd w:val="clear" w:color="000000" w:fill="D9D9D9"/>
            <w:noWrap/>
            <w:vAlign w:val="bottom"/>
            <w:hideMark/>
          </w:tcPr>
          <w:p w14:paraId="44260C3C" w14:textId="15A7590D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</w:tr>
      <w:tr w:rsidR="00AD1C7A" w:rsidRPr="00AD1C7A" w14:paraId="53611BCC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3DDEF8B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2x2:2 MIMO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-In,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-Out) pro pásmo 2.4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6A17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C5D53B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E96DF15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F74413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2x2:2 MIMO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-In,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-Out) pro pásmo 5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3FB7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0D38B6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1AAF7D44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CF8F01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2x2:2 MIMO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-In,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-Out) pro pásmo 6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EBDE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1D7464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78F918CA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59655605" w14:textId="2A8BF5DE" w:rsidR="00AD1C7A" w:rsidRPr="00AD1C7A" w:rsidRDefault="00AD1C7A" w:rsidP="00B359DC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Možnost volby rádiového módu v rámci SSR - 2.4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GHz/5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GHz/6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GH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z, 2.4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z/5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GHz +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tri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-band sensor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FEB1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38AA56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7332943C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0739078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WIPS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A691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1AF0A7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12DAB317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66DB1D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lastRenderedPageBreak/>
              <w:t>Podpora standardů 802.</w:t>
            </w:r>
            <w:proofErr w:type="gram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11a</w:t>
            </w:r>
            <w:proofErr w:type="gram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/b/g/n/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ac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/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5667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1C7A39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B7EF214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6B1542D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OFDMA v obou pásmech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69CF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1D09F6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32678474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019B8B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802.1ax s modulací 1024-QAM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32D4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FEC96F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79B9AC8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851150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TxBF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Transmit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Beamforming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F9F5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9CF7A8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277A8FB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78D9E0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HE20/HE40 pro pásmo 2,4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C65C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A3871E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42529BBA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639A5FC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HE20/HE40/HE80 pro pásmo 5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13A2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611C22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32B3D85C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62CF99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HE20/HE40/HE80/HE160 pro pásmo 6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6C5F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125658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F5CA1D0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38801AB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DL SU-MIMO a MU-MIMO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A863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B1CEA7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64BE501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FB891B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automatické správy kanálů a vysílacích výkonů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13C4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8A3930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0FD8010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089D4E6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WPA3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4E40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3CE00B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712BBC79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38269FA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PPSK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5B2A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F04AB4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76F61229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35EA6D9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BLE rádio v souladu s IEEE 802.15.4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FE0C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58052D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175C947" w14:textId="77777777" w:rsidTr="00AD1C7A">
        <w:trPr>
          <w:trHeight w:val="288"/>
        </w:trPr>
        <w:tc>
          <w:tcPr>
            <w:tcW w:w="10060" w:type="dxa"/>
            <w:shd w:val="clear" w:color="000000" w:fill="D9D9D9"/>
            <w:vAlign w:val="center"/>
            <w:hideMark/>
          </w:tcPr>
          <w:p w14:paraId="5923A0DC" w14:textId="0DA9847E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Ant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é</w:t>
            </w: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nní systém</w:t>
            </w:r>
          </w:p>
        </w:tc>
        <w:tc>
          <w:tcPr>
            <w:tcW w:w="1417" w:type="dxa"/>
            <w:shd w:val="clear" w:color="000000" w:fill="D9D9D9"/>
            <w:noWrap/>
            <w:vAlign w:val="bottom"/>
            <w:hideMark/>
          </w:tcPr>
          <w:p w14:paraId="7385C525" w14:textId="09B25949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1983" w:type="dxa"/>
            <w:shd w:val="clear" w:color="000000" w:fill="D9D9D9"/>
            <w:noWrap/>
            <w:vAlign w:val="bottom"/>
            <w:hideMark/>
          </w:tcPr>
          <w:p w14:paraId="6DE91273" w14:textId="2797FF34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</w:tr>
      <w:tr w:rsidR="00AD1C7A" w:rsidRPr="00AD1C7A" w14:paraId="1896E9A1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3EB77A3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všesměrový anténní systém pro pásmo 2.4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B645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FF4420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9DC596B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08D9775" w14:textId="2C32B149" w:rsidR="00AD1C7A" w:rsidRPr="00AD1C7A" w:rsidRDefault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zisk antény v</w:t>
            </w:r>
            <w:r w:rsidR="008D1E43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 pásmu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2.4 G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3.9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dBi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23B6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55CF2D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5CD5E88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055F212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všesměrový anténní systém pro pásmo 5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4F2B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5310D0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504B6F4F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2B06435" w14:textId="3546039C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zisk antény v</w:t>
            </w:r>
            <w:r w:rsidR="008D1E43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 pásmu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5 G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5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dBi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C30F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3EEEEC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ECF2201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8F9FED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všesměrový anténní systém pro pásmo 6 GHz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0273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8CC406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32B25A08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B586CDD" w14:textId="3FA9C908" w:rsidR="00AD1C7A" w:rsidRPr="00AD1C7A" w:rsidRDefault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zisk antény v</w:t>
            </w:r>
            <w:r w:rsidR="008D1E43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 pásmu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 G</w:t>
            </w:r>
            <w:r w:rsidR="00B359D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H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5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dBi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4C27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375A11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5663F639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F34BAD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všesměrový anténní systém pro BLE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4D1A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72CA28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320FB110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53E9D919" w14:textId="7CB0BEEC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Minimální zisk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IoT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antény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5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dBi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E29E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3D9B55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D38DE23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F088B7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Vyzařovací diagramy AP ve třech pásmech a polarizacích součástí technické specifikace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4A8B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C1A6F9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27E629C" w14:textId="77777777" w:rsidTr="00AD1C7A">
        <w:trPr>
          <w:trHeight w:val="288"/>
        </w:trPr>
        <w:tc>
          <w:tcPr>
            <w:tcW w:w="10060" w:type="dxa"/>
            <w:shd w:val="clear" w:color="000000" w:fill="D9D9D9"/>
            <w:vAlign w:val="center"/>
            <w:hideMark/>
          </w:tcPr>
          <w:p w14:paraId="59AEA11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Fyzická rozhraní a vlastnosti</w:t>
            </w:r>
          </w:p>
        </w:tc>
        <w:tc>
          <w:tcPr>
            <w:tcW w:w="1417" w:type="dxa"/>
            <w:shd w:val="clear" w:color="000000" w:fill="D9D9D9"/>
            <w:noWrap/>
            <w:vAlign w:val="bottom"/>
            <w:hideMark/>
          </w:tcPr>
          <w:p w14:paraId="6A907155" w14:textId="1A404CAE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1983" w:type="dxa"/>
            <w:shd w:val="clear" w:color="000000" w:fill="D9D9D9"/>
            <w:noWrap/>
            <w:vAlign w:val="bottom"/>
            <w:hideMark/>
          </w:tcPr>
          <w:p w14:paraId="4258C4B0" w14:textId="02BFE589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</w:tr>
      <w:tr w:rsidR="00AD1C7A" w:rsidRPr="00AD1C7A" w14:paraId="65C2C953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2599F03C" w14:textId="7B9A4583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100/1000 Mbps Ethernet RJ45 port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1x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32A4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079A52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20A583F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CB25967" w14:textId="40CD6DED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Integrovaný 1G/2.5G Ethernet RJ45 port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1x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3972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12BA29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4E769B4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1E8425A" w14:textId="3A44C47C" w:rsidR="00AD1C7A" w:rsidRPr="00AD1C7A" w:rsidRDefault="00AD1C7A" w:rsidP="00592E3B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Konzolový</w:t>
            </w:r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USB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port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A317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AA8483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64585B1E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CCF04AC" w14:textId="5618D966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USB 2.0 port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– 1x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6AC0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8432E6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5CE5E824" w14:textId="77777777" w:rsidTr="00AD1C7A">
        <w:trPr>
          <w:trHeight w:val="288"/>
        </w:trPr>
        <w:tc>
          <w:tcPr>
            <w:tcW w:w="10060" w:type="dxa"/>
            <w:shd w:val="clear" w:color="000000" w:fill="D9D9D9"/>
            <w:vAlign w:val="center"/>
            <w:hideMark/>
          </w:tcPr>
          <w:p w14:paraId="2CAC7A1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Fyzické provedení, napájení a další vlastnosti</w:t>
            </w:r>
          </w:p>
        </w:tc>
        <w:tc>
          <w:tcPr>
            <w:tcW w:w="1417" w:type="dxa"/>
            <w:shd w:val="clear" w:color="000000" w:fill="D9D9D9"/>
            <w:noWrap/>
            <w:vAlign w:val="bottom"/>
            <w:hideMark/>
          </w:tcPr>
          <w:p w14:paraId="522EE07B" w14:textId="4AB7CBE4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1983" w:type="dxa"/>
            <w:shd w:val="clear" w:color="000000" w:fill="D9D9D9"/>
            <w:noWrap/>
            <w:vAlign w:val="bottom"/>
            <w:hideMark/>
          </w:tcPr>
          <w:p w14:paraId="6B66AC1E" w14:textId="47257B9A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</w:tr>
      <w:tr w:rsidR="00AD1C7A" w:rsidRPr="00AD1C7A" w14:paraId="6519C722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B07A6F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lastRenderedPageBreak/>
              <w:t xml:space="preserve">Možnost napájení AP přes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IEEE 802.3at při zachování plné funkcionality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703B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A074CC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CEDBE71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28F956D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Vestavěný slot pro "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Kensington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" zámek pro zabezpečení montáže AP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33BF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E2FDAE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16C98F28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17AFA58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Světelný sensor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3FE3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F9D762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2A8D394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D85A9B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Rozsah pracovních teplot 0 až </w:t>
            </w:r>
            <w:proofErr w:type="gram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40°C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7A48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B20C16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0009487A" w14:textId="77777777" w:rsidTr="00AD1C7A">
        <w:trPr>
          <w:trHeight w:val="288"/>
        </w:trPr>
        <w:tc>
          <w:tcPr>
            <w:tcW w:w="10060" w:type="dxa"/>
            <w:shd w:val="clear" w:color="000000" w:fill="D9D9D9"/>
            <w:vAlign w:val="center"/>
            <w:hideMark/>
          </w:tcPr>
          <w:p w14:paraId="41C9A6F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Podpora a záruka</w:t>
            </w:r>
          </w:p>
        </w:tc>
        <w:tc>
          <w:tcPr>
            <w:tcW w:w="1417" w:type="dxa"/>
            <w:shd w:val="clear" w:color="000000" w:fill="D9D9D9"/>
            <w:noWrap/>
            <w:vAlign w:val="bottom"/>
            <w:hideMark/>
          </w:tcPr>
          <w:p w14:paraId="3FADE2BA" w14:textId="5149AA58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  <w:tc>
          <w:tcPr>
            <w:tcW w:w="1983" w:type="dxa"/>
            <w:shd w:val="clear" w:color="000000" w:fill="D9D9D9"/>
            <w:noWrap/>
            <w:vAlign w:val="bottom"/>
            <w:hideMark/>
          </w:tcPr>
          <w:p w14:paraId="0CDFC806" w14:textId="5F495399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-</w:t>
            </w:r>
          </w:p>
        </w:tc>
      </w:tr>
      <w:tr w:rsidR="00AD1C7A" w:rsidRPr="00AD1C7A" w14:paraId="794B01E7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7F2E2FE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Nový produkt certifikovaný pro použití v ČR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F541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78AF7A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20069E28" w14:textId="77777777" w:rsidTr="00AD1C7A">
        <w:trPr>
          <w:trHeight w:val="288"/>
        </w:trPr>
        <w:tc>
          <w:tcPr>
            <w:tcW w:w="10060" w:type="dxa"/>
            <w:shd w:val="clear" w:color="auto" w:fill="auto"/>
            <w:vAlign w:val="center"/>
            <w:hideMark/>
          </w:tcPr>
          <w:p w14:paraId="4D94E504" w14:textId="68D7133E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Licence pro management, záruka, podpora, aktualizace SW a přístup k novým funk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ionalitám na dobu minimálně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60 měsíců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0957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FE2EF6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1C7A" w:rsidRPr="00AD1C7A" w14:paraId="3B43BA91" w14:textId="77777777" w:rsidTr="00AD1C7A">
        <w:trPr>
          <w:trHeight w:val="58"/>
        </w:trPr>
        <w:tc>
          <w:tcPr>
            <w:tcW w:w="10060" w:type="dxa"/>
            <w:shd w:val="clear" w:color="auto" w:fill="auto"/>
            <w:vAlign w:val="bottom"/>
            <w:hideMark/>
          </w:tcPr>
          <w:p w14:paraId="38EE1B4E" w14:textId="4E759FC3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Limitovaná doživotní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(minimálně 10 let ode dne dodání) záruka pro AP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–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výměna zařízení při hardware závadě, právo stahovat a instalovat aktualizace software a nové verze 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713A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8590C8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27D3EE3B" w14:textId="77777777" w:rsidR="00AD1C7A" w:rsidRDefault="00AD1C7A" w:rsidP="003369D6"/>
    <w:p w14:paraId="2881312B" w14:textId="77777777" w:rsidR="00AD1C7A" w:rsidRDefault="00AD1C7A" w:rsidP="003369D6"/>
    <w:p w14:paraId="5ADFAA45" w14:textId="2B158D69" w:rsidR="00AD1C7A" w:rsidRDefault="000972E2" w:rsidP="003B3BE0">
      <w:pPr>
        <w:pStyle w:val="Nadpis"/>
      </w:pPr>
      <w:r>
        <w:t>Přepínače</w:t>
      </w:r>
    </w:p>
    <w:p w14:paraId="005E0D02" w14:textId="7E28626F" w:rsidR="00AD1C7A" w:rsidRDefault="00AD1C7A" w:rsidP="003369D6">
      <w:r>
        <w:t>Předmětem plnění je dodávka p</w:t>
      </w:r>
      <w:r w:rsidRPr="00AD1C7A">
        <w:t>řístupov</w:t>
      </w:r>
      <w:r>
        <w:t xml:space="preserve">ého </w:t>
      </w:r>
      <w:r w:rsidRPr="00AD1C7A">
        <w:t>přepínač</w:t>
      </w:r>
      <w:r>
        <w:t>e</w:t>
      </w:r>
      <w:r w:rsidRPr="00AD1C7A">
        <w:t xml:space="preserve"> podnikové třídy (48 portů </w:t>
      </w:r>
      <w:proofErr w:type="spellStart"/>
      <w:r w:rsidRPr="00AD1C7A">
        <w:t>Class</w:t>
      </w:r>
      <w:proofErr w:type="spellEnd"/>
      <w:r w:rsidRPr="00AD1C7A">
        <w:t xml:space="preserve"> 4 </w:t>
      </w:r>
      <w:proofErr w:type="spellStart"/>
      <w:r w:rsidRPr="00AD1C7A">
        <w:t>PoE</w:t>
      </w:r>
      <w:proofErr w:type="spellEnd"/>
      <w:r w:rsidRPr="00AD1C7A">
        <w:t>)</w:t>
      </w:r>
      <w:r>
        <w:t xml:space="preserve"> splňujícího dále uvedenou specifikaci.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520"/>
        <w:gridCol w:w="1377"/>
        <w:gridCol w:w="1985"/>
      </w:tblGrid>
      <w:tr w:rsidR="003B3BE0" w:rsidRPr="00AD1C7A" w14:paraId="517CEF8B" w14:textId="77777777" w:rsidTr="003B3BE0">
        <w:trPr>
          <w:trHeight w:val="576"/>
        </w:trPr>
        <w:tc>
          <w:tcPr>
            <w:tcW w:w="3580" w:type="dxa"/>
            <w:shd w:val="clear" w:color="auto" w:fill="BFBFBF" w:themeFill="background1" w:themeFillShade="BF"/>
            <w:vAlign w:val="center"/>
            <w:hideMark/>
          </w:tcPr>
          <w:p w14:paraId="40FA8B34" w14:textId="77777777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Kategorie vlastností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  <w:hideMark/>
          </w:tcPr>
          <w:p w14:paraId="66BB1B56" w14:textId="77777777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Požadovaný parametr nebo funkce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  <w:hideMark/>
          </w:tcPr>
          <w:p w14:paraId="33149D17" w14:textId="77777777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Splnění požadovaných parametrů (ANO/NE)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14:paraId="38DB55F2" w14:textId="77777777" w:rsidR="00AD1C7A" w:rsidRPr="00AD1C7A" w:rsidRDefault="00AD1C7A" w:rsidP="00AD1C7A">
            <w:pPr>
              <w:suppressAutoHyphens w:val="0"/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Komentář</w:t>
            </w:r>
          </w:p>
        </w:tc>
      </w:tr>
      <w:tr w:rsidR="003B3BE0" w:rsidRPr="00AD1C7A" w14:paraId="58435B9E" w14:textId="77777777" w:rsidTr="003B3BE0">
        <w:trPr>
          <w:trHeight w:val="5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40FE7E0A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Typ zřízení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E36179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Stohovatelný, plně řiditelný L2/L3 přepínač podnikové třídy s podporou centrální správy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C34643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F5297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4EB058D5" w14:textId="77777777" w:rsidTr="003B3BE0">
        <w:trPr>
          <w:trHeight w:val="288"/>
        </w:trPr>
        <w:tc>
          <w:tcPr>
            <w:tcW w:w="35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B1EA381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Formát zařízení a fyzické vlastnosti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173486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Provedení pro montáž do 19" rozvaděče, včetně montážní sady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EAD8EA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458FF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7DBF770B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E4CD172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40BFC1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Maximální výška přepínače 1U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AD3245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25447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F2F6120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3546D297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909AC6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Všechny přístupové porty a porty pro správu umístěné na přední straně přepínače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3285C3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67623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3CC70281" w14:textId="77777777" w:rsidTr="003B3BE0">
        <w:trPr>
          <w:trHeight w:val="5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77ADD93F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Přístupové porty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637430CF" w14:textId="20C8503D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Minimálně 48x RJ-45 s rychlostí 10/100/1000 Mbit s podporou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dle IEEE </w:t>
            </w:r>
            <w:r w:rsidR="00E108C1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8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02.3at třídy 4 (30</w:t>
            </w:r>
            <w:r w:rsidR="003B3BE0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W)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B8156D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ECF6D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11A850C" w14:textId="77777777" w:rsidTr="003B3BE0">
        <w:trPr>
          <w:trHeight w:val="28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39B7EBA0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Uplink</w:t>
            </w:r>
            <w:proofErr w:type="spellEnd"/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 xml:space="preserve"> a stohovací porty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FD72E0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Minimálně 4x SFP+ s rychlostí 1/10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Gbit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D0D47F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8D9F0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04DFB42" w14:textId="77777777" w:rsidTr="003B3BE0">
        <w:trPr>
          <w:trHeight w:val="58"/>
        </w:trPr>
        <w:tc>
          <w:tcPr>
            <w:tcW w:w="35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16EC4FF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Porty a rozhraní pro správu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18847D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1x RJ-45 konzolový port nebo USB konzolový port pro lokální konfiguraci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439282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C6FFB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C0FAFDE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6AACE7A5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63F888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1x RJ-45 10/100/1000BASE-T port pro out-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of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-band management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E653F8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4285B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9A9D1CC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20DAA5F3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F1D2DFF" w14:textId="715C4342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1x USB pro přenos souborů do/z přepínače (firmware, konfigurace apod.)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D7A7DD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3B1BE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B85A465" w14:textId="77777777" w:rsidTr="003B3BE0">
        <w:trPr>
          <w:trHeight w:val="288"/>
        </w:trPr>
        <w:tc>
          <w:tcPr>
            <w:tcW w:w="35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E23C2E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lastRenderedPageBreak/>
              <w:t>Vlastnosti stohování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C2B659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Možnost stohovat až 8 zařízení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7E5F4A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E7827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3B8BEA9" w14:textId="77777777" w:rsidTr="003B3BE0">
        <w:trPr>
          <w:trHeight w:val="64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710065E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751ECA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vzájemného stohování přepínačů s rozdílnou konfigurací přístupových portů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CF113F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96EAC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C93D980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1773D5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1679650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stohování přes standardní SFP+ porty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A24EA3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3A672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513ACD27" w14:textId="77777777" w:rsidTr="003B3BE0">
        <w:trPr>
          <w:trHeight w:val="117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3F0BBBE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0351DF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využití všech SFP+ portů jako datových 10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Gb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portů při nevyužití stohování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0CB15F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15CBD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C63D41F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7DD324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BDE90DA" w14:textId="045BDB8D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pr</w:t>
            </w:r>
            <w:r w:rsidR="003B3BE0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o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pustnost stohování v topologii kruh 40 Gbps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467EAD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A9064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CD04EF9" w14:textId="77777777" w:rsidTr="003B3BE0">
        <w:trPr>
          <w:trHeight w:val="28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4CCD97C8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Napájení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644AA8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Minimálně 1x napájecí zdroj </w:t>
            </w:r>
            <w:proofErr w:type="gram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230V</w:t>
            </w:r>
            <w:proofErr w:type="gram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34DB7F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97FCF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35450141" w14:textId="77777777" w:rsidTr="003B3BE0">
        <w:trPr>
          <w:trHeight w:val="160"/>
        </w:trPr>
        <w:tc>
          <w:tcPr>
            <w:tcW w:w="35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72659F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 xml:space="preserve"> napájení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5B16351" w14:textId="1B3336CD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Celkový výkon (tzn.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budget) dostupný pro napájení zařízení prostřednictvím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minimálně 370</w:t>
            </w:r>
            <w:r w:rsidR="003B3BE0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W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13C237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2994F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DE480B2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334DEA90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F2C68E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funkce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Perpetual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pro napájení připojených zařízení i při restartu nebo aktualizaci přepínače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5C0866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5F0471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399DD9CD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6229F4D1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EA1F30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funkce Fast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pro rychlé obnovení napájení připojených zařízení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5F646F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0D345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3ACC2D67" w14:textId="77777777" w:rsidTr="003B3BE0">
        <w:trPr>
          <w:trHeight w:val="288"/>
        </w:trPr>
        <w:tc>
          <w:tcPr>
            <w:tcW w:w="35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7B97266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Kapacitní a výkonové vlastnosti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066A69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neblokovaná přepínací kapacita: 176 Gbps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D11F2A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96DDE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469ED6F2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5F6A8A0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2AFE4A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Minimální přepínací rychlost: 130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Mpps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0E3D56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7E982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C33A351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6A8DB27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6EC4DD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počet podporovaných VLAN: 4000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272454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D8CCC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5D38D61D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340D0B6E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37C4CD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kapacita tabulky MAC adres: 32000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29D5BD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D9A26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1793110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687AEEF3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F2DC70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kapacita tabulky směrovacích záznamů pro IPv4: 1000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A384C5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D4F99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3AE9D86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15C06A8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2783EB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kapacita tabulky směrovacích záznamů pro IPv6: 500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A09AFB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A7E2A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4F30077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CDDDF64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6CFE4A2" w14:textId="01E3071E" w:rsidR="00AD1C7A" w:rsidRPr="00AD1C7A" w:rsidRDefault="00AD1C7A" w:rsidP="00592E3B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Minimální velikost Jumbo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Frame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: 9</w:t>
            </w:r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00 bajtů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082E48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8517E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A76F78A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9659F42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A9B927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počet linek v LACP skupině: 8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D50051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DF9C2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BD3F828" w14:textId="77777777" w:rsidTr="003B3BE0">
        <w:trPr>
          <w:trHeight w:val="288"/>
        </w:trPr>
        <w:tc>
          <w:tcPr>
            <w:tcW w:w="35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1031B68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Další požadované funkce a vlastnosti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F3F606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virtuálních LAN dle IEEE 802.1Q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D62911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65A76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1DD8F23" w14:textId="77777777" w:rsidTr="003B3BE0">
        <w:trPr>
          <w:trHeight w:val="132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7DE3D2E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81F910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agregace více portů s využitím protokolu LACP (Link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Aggregation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Control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dle IEEE 802.3ad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E0ADB8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93E5A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3C8BDDBC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2BC8DAE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53838C3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objevení zařízení s využitím protokolu LLDP (Link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Layer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Discovery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dle IEEE 802.1ab včetně jeho rozšíření IEEE 802.1Qcj a LLDP-MED (Media Endpoint Discovery)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8A6195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268A1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21ECDAD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CC63F2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C727EE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protokolu RSTP (Rapid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Spanning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Tree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dle IEEE 802.1w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F7C6BA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3A641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FD27F5F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2C5415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46851C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protokolu MSTP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Spanning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Tree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dle IEEE 802.</w:t>
            </w:r>
            <w:proofErr w:type="gram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1s</w:t>
            </w:r>
            <w:proofErr w:type="gram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11597A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67DE9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85CDA30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796D54C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25A141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protokolu PVST+ (Per-VLAN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Spanning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Tree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4C24A7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AF9E6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799E6E7E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D2B5E8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13D6E50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statických směrovacích záznamů pro IPv4 i IPv6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61DBC1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C5000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6B9ABD5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E01DE3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8B5F8E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funkcí DHCP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client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, DHCP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relay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a DHCP server pro IPv4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81AC6D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4A981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B7C50CE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3C01DF6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EE5124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funkcí DHCP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client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, DHCP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relay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IPv6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4FB9BD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9663B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1400E599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0B34A2D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D57C7D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funkce DHCP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snooping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B99F2E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09189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9613905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0174CD6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8F9232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funkce IPSG (IP Source Guard)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8C5E86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72ACF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01BABEF" w14:textId="77777777" w:rsidTr="003B3BE0">
        <w:trPr>
          <w:trHeight w:val="150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1D559B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0E0C19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funkcí IGMP (Internet Group Management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) a IGMP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snooping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pro IPv4 ve verzích 1,2 a 3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96E8E9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6162E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46311AC3" w14:textId="77777777" w:rsidTr="003B3BE0">
        <w:trPr>
          <w:trHeight w:val="214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09FA0E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6EC96C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funkcí MLD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Multicast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Listener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Discovery) a MLD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snooping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pro IPv6 ve verzích 1 a 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D616F3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F474C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785DEB4B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64DC793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9230CA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funkce ND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Neighbor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Discovery) pro IPv6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0A9E63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F1D3F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657B891A" w14:textId="77777777" w:rsidTr="003B3BE0">
        <w:trPr>
          <w:trHeight w:val="2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618956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82885AE" w14:textId="1FE9094F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analýzy </w:t>
            </w:r>
            <w:r w:rsidR="00E108C1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provozu </w:t>
            </w:r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(např. </w:t>
            </w:r>
            <w:proofErr w:type="spellStart"/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Netflow</w:t>
            </w:r>
            <w:proofErr w:type="spellEnd"/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sFlow</w:t>
            </w:r>
            <w:proofErr w:type="spellEnd"/>
            <w:r w:rsidR="00592E3B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nebo IPFIX)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59D485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EC18A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A2180AD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F4785C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5E4339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sběru telemetrie s detekcí síťové a aplikační odezvy pro účely diagnostiky sítě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E9C950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0D1D1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55451532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625242C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8D9265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ověřeného přístupu do sítě prostřednictvím protokolu IEEE 802.1x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DA07AC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91D27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7F2DCFE3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564B0EC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1883E76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současné konfigurace ověřeného přístupu IEEE 802.1x a MAB (Mac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Authentication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Bypass) s možností volby jejich pořadí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75129D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FBF0BA1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478340B6" w14:textId="77777777" w:rsidTr="003B3BE0">
        <w:trPr>
          <w:trHeight w:val="220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1B8D44B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1591965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změny autorizace ověřeného přístupu IEEE 802.1x s využitím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CoA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Change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of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Authorization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D4259F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82D71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A7AEBB1" w14:textId="77777777" w:rsidTr="003B3BE0">
        <w:trPr>
          <w:trHeight w:val="142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1156636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A3045B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přiřazení politiky, role nebo dynamického ACL (Access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Control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List) na základě autorizace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8EFCC3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79ECB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40A652D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8B0BC8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F3CFE47" w14:textId="7CBAC1D8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současného ověření několika zařízení/uživatelů na jediném přístupovém portu s možností př</w:t>
            </w:r>
            <w:r w:rsidR="003B3BE0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</w:t>
            </w: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dělení různé politiky, role nebo dynamického ACL (Access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Control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List)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1F3B9F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32203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4C68149D" w14:textId="77777777" w:rsidTr="003B3BE0">
        <w:trPr>
          <w:trHeight w:val="344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1DD8339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A40AD5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omezení provozu prostřednictvím ACL (Access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Control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List) s definicí atributů na vrstvách min. L3/L4, implementované v hardware pro IPv4 i IPv6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E47530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49EF2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DF88833" w14:textId="77777777" w:rsidTr="003B3BE0">
        <w:trPr>
          <w:trHeight w:val="124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4FEBB16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0010174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zabezpečeného vzdáleného přístupu a správy pomocí protokolů SSHv2, SCP a SFTP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1A1747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FEC5D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31A7E" w:rsidRPr="00AD1C7A" w14:paraId="0AF17406" w14:textId="77777777" w:rsidTr="003B3BE0">
        <w:trPr>
          <w:trHeight w:val="124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</w:tcPr>
          <w:p w14:paraId="645C9175" w14:textId="77777777" w:rsidR="00F31A7E" w:rsidRPr="00AD1C7A" w:rsidRDefault="00F31A7E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14:paraId="4E452688" w14:textId="6FEEE03E" w:rsidR="00F31A7E" w:rsidRPr="00AD1C7A" w:rsidRDefault="00F31A7E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Plně funkční nastavení </w:t>
            </w:r>
            <w:r w:rsidR="00D1362F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všech funkcionalit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přepínače přes CLI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4DE41CA7" w14:textId="77777777" w:rsidR="00F31A7E" w:rsidRPr="00AD1C7A" w:rsidRDefault="00F31A7E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32C0610" w14:textId="77777777" w:rsidR="00F31A7E" w:rsidRPr="00AD1C7A" w:rsidRDefault="00F31A7E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B3BE0" w:rsidRPr="00AD1C7A" w14:paraId="20153972" w14:textId="77777777" w:rsidTr="003B3BE0">
        <w:trPr>
          <w:trHeight w:val="18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128DBDC2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62B57BEA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zabezpečeného monitorování pomocí protokolu SNMPv3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Simple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Network Management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75FA1F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D45D8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D5EB6FA" w14:textId="77777777" w:rsidTr="003B3BE0">
        <w:trPr>
          <w:trHeight w:val="58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69499ABC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7C213B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centrální zabezpečené správy prostřednictvím stávajícího centrálního managementu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B7AF8CB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A76F1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0780F2F2" w14:textId="77777777" w:rsidTr="003B3BE0">
        <w:trPr>
          <w:trHeight w:val="175"/>
        </w:trPr>
        <w:tc>
          <w:tcPr>
            <w:tcW w:w="3580" w:type="dxa"/>
            <w:vMerge/>
            <w:shd w:val="clear" w:color="auto" w:fill="F2F2F2" w:themeFill="background1" w:themeFillShade="F2"/>
            <w:vAlign w:val="center"/>
            <w:hideMark/>
          </w:tcPr>
          <w:p w14:paraId="259E6FE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A38F8DE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ZTP (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Zero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Touch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Provisioning</w:t>
            </w:r>
            <w:proofErr w:type="spellEnd"/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prostřednictvím stávajícího centrálního managementu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6B03CB6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15C059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3D571D0F" w14:textId="77777777" w:rsidTr="003B3BE0">
        <w:trPr>
          <w:trHeight w:val="5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78F4F4DE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Licence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6862E96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Licence pro centrální správu přepínačů prostřednictvím stávajícího centrálního management software a stávajícího NAC řešení na dobu minimálně 5 let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59FE41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1FEF703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32AC7F5" w14:textId="77777777" w:rsidTr="003B3BE0">
        <w:trPr>
          <w:trHeight w:val="5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5202A2A9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Záruka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A2721E8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Záruka na hardware minimálně 5 let, řešení opravy formou dopředné výměny přepínače s odesláním následující pracovní den po identifikaci a uznání závady výrobcem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A4CAC6D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7FC80F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3BE0" w:rsidRPr="00AD1C7A" w14:paraId="27BC9831" w14:textId="77777777" w:rsidTr="003B3BE0">
        <w:trPr>
          <w:trHeight w:val="58"/>
        </w:trPr>
        <w:tc>
          <w:tcPr>
            <w:tcW w:w="3580" w:type="dxa"/>
            <w:shd w:val="clear" w:color="auto" w:fill="F2F2F2" w:themeFill="background1" w:themeFillShade="F2"/>
            <w:noWrap/>
            <w:vAlign w:val="center"/>
            <w:hideMark/>
          </w:tcPr>
          <w:p w14:paraId="3B45DA0C" w14:textId="77777777" w:rsidR="00AD1C7A" w:rsidRPr="00AD1C7A" w:rsidRDefault="00AD1C7A" w:rsidP="003B3BE0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Podpora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1CAC240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na hardware minimálně 5 let, v režimu 8x5, standardně dostupná prostřednictvím telefonní linky nebo webového portálu pro správu požadavků, včetně přístupu k aktualizacím SW a novým funkcionalitám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A8AB417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2BC1F5" w14:textId="77777777" w:rsidR="00AD1C7A" w:rsidRPr="00AD1C7A" w:rsidRDefault="00AD1C7A" w:rsidP="00AD1C7A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AD1C7A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021B558C" w14:textId="77777777" w:rsidR="00AD1C7A" w:rsidRDefault="00AD1C7A" w:rsidP="003369D6"/>
    <w:p w14:paraId="37BC7845" w14:textId="77777777" w:rsidR="00AD1C7A" w:rsidRDefault="00AD1C7A" w:rsidP="003369D6"/>
    <w:p w14:paraId="484D5C6D" w14:textId="77777777" w:rsidR="00AD1C7A" w:rsidRDefault="00AD1C7A" w:rsidP="003369D6"/>
    <w:p w14:paraId="78B4D5BA" w14:textId="77777777" w:rsidR="00AD1C7A" w:rsidRDefault="00AD1C7A" w:rsidP="003369D6"/>
    <w:p w14:paraId="36E0B621" w14:textId="77777777" w:rsidR="005F0711" w:rsidRDefault="005F0711" w:rsidP="003369D6"/>
    <w:p w14:paraId="27E75CB7" w14:textId="77777777" w:rsidR="005F0711" w:rsidRDefault="005F0711" w:rsidP="003369D6">
      <w:pPr>
        <w:sectPr w:rsidR="005F0711" w:rsidSect="006F619F">
          <w:pgSz w:w="16838" w:h="11906" w:orient="landscape"/>
          <w:pgMar w:top="1417" w:right="1417" w:bottom="1417" w:left="1417" w:header="708" w:footer="403" w:gutter="0"/>
          <w:cols w:space="708"/>
          <w:formProt w:val="0"/>
          <w:docGrid w:linePitch="360"/>
        </w:sectPr>
      </w:pPr>
    </w:p>
    <w:p w14:paraId="5A8127F9" w14:textId="77777777" w:rsidR="005F0711" w:rsidRDefault="005F0711" w:rsidP="003369D6"/>
    <w:p w14:paraId="1E6D5CA0" w14:textId="0980A31A" w:rsidR="000972E2" w:rsidRDefault="000972E2" w:rsidP="000972E2">
      <w:pPr>
        <w:pStyle w:val="NadpisA"/>
        <w:rPr>
          <w:highlight w:val="yellow"/>
        </w:rPr>
      </w:pPr>
      <w:bookmarkStart w:id="8" w:name="_Toc184206025"/>
      <w:bookmarkStart w:id="9" w:name="_Toc193187864"/>
      <w:r>
        <w:rPr>
          <w:highlight w:val="yellow"/>
        </w:rPr>
        <w:t>DALŠÍ SLUŽBY</w:t>
      </w:r>
    </w:p>
    <w:p w14:paraId="6D25C208" w14:textId="4AA615D8" w:rsidR="000972E2" w:rsidRPr="000972E2" w:rsidRDefault="000972E2" w:rsidP="00870866">
      <w:pPr>
        <w:pStyle w:val="Nadpis"/>
      </w:pPr>
      <w:r w:rsidRPr="000972E2">
        <w:t>Projektové řízení</w:t>
      </w:r>
    </w:p>
    <w:p w14:paraId="37835191" w14:textId="77777777" w:rsidR="000972E2" w:rsidRPr="000972E2" w:rsidRDefault="000972E2" w:rsidP="000972E2">
      <w:pPr>
        <w:pStyle w:val="Normln-Odstavec"/>
        <w:rPr>
          <w:rFonts w:eastAsiaTheme="minorHAnsi" w:cs="Arial"/>
          <w:szCs w:val="22"/>
          <w:lang w:eastAsia="en-US"/>
        </w:rPr>
      </w:pPr>
      <w:r w:rsidRPr="000972E2">
        <w:rPr>
          <w:rFonts w:cs="Arial"/>
          <w:szCs w:val="20"/>
        </w:rPr>
        <w:t xml:space="preserve">Zadavatel požaduje </w:t>
      </w:r>
      <w:r w:rsidRPr="000972E2">
        <w:rPr>
          <w:rFonts w:cs="Arial"/>
        </w:rPr>
        <w:t xml:space="preserve">zajištění projektového vedení realizace předmětu plnění. </w:t>
      </w:r>
      <w:r w:rsidRPr="000972E2">
        <w:rPr>
          <w:rFonts w:eastAsiaTheme="minorHAnsi" w:cs="Arial"/>
          <w:szCs w:val="22"/>
          <w:lang w:eastAsia="en-US"/>
        </w:rPr>
        <w:t>Dodavatel zajistí projektové vedení po celou dobu realizace zakázky. Dodavatel zajistí:</w:t>
      </w:r>
    </w:p>
    <w:p w14:paraId="43DCFBD2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  <w:rPr>
          <w:rFonts w:eastAsiaTheme="minorHAnsi" w:cs="Arial"/>
          <w:szCs w:val="22"/>
          <w:lang w:eastAsia="en-US"/>
        </w:rPr>
      </w:pPr>
      <w:r w:rsidRPr="000972E2">
        <w:t>Projektové vedení plnění předmětu plnění po celou dobu realizace dodávky prostřednictvím projektového manažera, který bude v průběhu plnění aktivně a konstruktivně komunikovat se jmenovaným zástupcem zadavatele;</w:t>
      </w:r>
    </w:p>
    <w:p w14:paraId="0FB58075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proaktivní vyžádání si součinnosti a koordinace prací, služeb a/nebo dodávek třetích stran (zejm. stávajících dodavatelů zadavatele) zapojených do plnění za účelem dosažení úspěšné realizace předmětu plnění veřejné zakázky jako celku a jeho úspěšné realizace v daném časovém rámci vč. jednotlivého oprávněného konkrétního úkolu s určeným termínem z kontrolního dne v rámci koordinace prací, služeb a/nebo dodávek;</w:t>
      </w:r>
    </w:p>
    <w:p w14:paraId="410DC1D3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organizaci kontrolních dnů – kontrolní dny se budou konat za účasti zástupců dodavatele a zadavatele min. 1 x 14 dní; dodavatel zajistí řízení všech kontrolních dnů a dílčích jednání se členy realizačního týmu na straně zadavatele;</w:t>
      </w:r>
    </w:p>
    <w:p w14:paraId="47D193C5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 xml:space="preserve">zpracování harmonogramu prací v podobě navazujících činností, např. formou </w:t>
      </w:r>
      <w:proofErr w:type="spellStart"/>
      <w:r w:rsidRPr="000972E2">
        <w:t>Ganttova</w:t>
      </w:r>
      <w:proofErr w:type="spellEnd"/>
      <w:r w:rsidRPr="000972E2">
        <w:t xml:space="preserve"> diagramu nebo MS Project, či obdobného nástroje postihujícího návaznosti ke všem částem plnění;</w:t>
      </w:r>
    </w:p>
    <w:p w14:paraId="4E1EB76B" w14:textId="12D1372F" w:rsidR="000972E2" w:rsidRPr="000972E2" w:rsidRDefault="005231F7" w:rsidP="000972E2">
      <w:pPr>
        <w:pStyle w:val="Normln-Odstavec"/>
        <w:numPr>
          <w:ilvl w:val="1"/>
          <w:numId w:val="22"/>
        </w:numPr>
        <w:ind w:left="709" w:hanging="425"/>
      </w:pPr>
      <w:r w:rsidRPr="005231F7">
        <w:t>řízení vzniku veškeré provozně-technické dokumentace, školících materiálů pro školení administrátorů, organizace školení samotného a další projektové dokumentace;</w:t>
      </w:r>
    </w:p>
    <w:p w14:paraId="0B6F6F52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veškeré řídící činnosti projektu s vlastníky projektu na straně zadavatele nebo jím určených třetích stran na straně dodavatele.</w:t>
      </w:r>
    </w:p>
    <w:p w14:paraId="4D0E6266" w14:textId="77777777" w:rsidR="000972E2" w:rsidRDefault="000972E2" w:rsidP="000972E2">
      <w:pPr>
        <w:pStyle w:val="Normln-Odstavec"/>
        <w:rPr>
          <w:rFonts w:cs="Arial"/>
          <w:szCs w:val="20"/>
        </w:rPr>
      </w:pPr>
    </w:p>
    <w:p w14:paraId="6E2515C3" w14:textId="46FCD936" w:rsidR="00F835C2" w:rsidRPr="00C2425A" w:rsidRDefault="00F835C2" w:rsidP="00870866">
      <w:pPr>
        <w:pStyle w:val="Nadpis"/>
      </w:pPr>
      <w:r w:rsidRPr="00C2425A">
        <w:t>Školení</w:t>
      </w:r>
      <w:bookmarkEnd w:id="8"/>
      <w:bookmarkEnd w:id="9"/>
    </w:p>
    <w:p w14:paraId="1FC0C4FD" w14:textId="77777777" w:rsidR="00F835C2" w:rsidRPr="00C2425A" w:rsidRDefault="00F835C2" w:rsidP="003369D6">
      <w:r w:rsidRPr="00C2425A">
        <w:t>Školení obsluhy (IT správce) v rozsahu min. 2 x 8 hod (3 osoby) v prostorách zadavatele.</w:t>
      </w:r>
    </w:p>
    <w:p w14:paraId="7CEC9498" w14:textId="77777777" w:rsidR="00CF52D2" w:rsidRPr="00C2425A" w:rsidRDefault="00CF52D2" w:rsidP="003369D6"/>
    <w:p w14:paraId="2BB964D2" w14:textId="77777777" w:rsidR="00F835C2" w:rsidRPr="00C2425A" w:rsidRDefault="00F835C2" w:rsidP="00870866">
      <w:pPr>
        <w:pStyle w:val="Nadpis"/>
      </w:pPr>
      <w:bookmarkStart w:id="10" w:name="_Toc184206032"/>
      <w:bookmarkStart w:id="11" w:name="_Toc193187869"/>
      <w:r w:rsidRPr="00C2425A">
        <w:t>Licence</w:t>
      </w:r>
      <w:bookmarkEnd w:id="10"/>
      <w:bookmarkEnd w:id="11"/>
    </w:p>
    <w:p w14:paraId="025D8CA8" w14:textId="513F6A1E" w:rsidR="00F835C2" w:rsidRPr="00C2425A" w:rsidRDefault="00F835C2" w:rsidP="003369D6">
      <w:bookmarkStart w:id="12" w:name="_Hlk22732471"/>
      <w:r w:rsidRPr="00C2425A">
        <w:t xml:space="preserve">Řešení musí zahrnovat v ceně dodávky všechny náklady na provoz řešení, tedy včetně licence na operační systémy pro nabízené řešení, databázi, </w:t>
      </w:r>
      <w:proofErr w:type="spellStart"/>
      <w:r w:rsidRPr="00C2425A">
        <w:t>middleware</w:t>
      </w:r>
      <w:proofErr w:type="spellEnd"/>
      <w:r w:rsidRPr="00C2425A">
        <w:t xml:space="preserve"> apod</w:t>
      </w:r>
      <w:bookmarkEnd w:id="12"/>
      <w:r w:rsidRPr="00C2425A">
        <w:t>.</w:t>
      </w:r>
    </w:p>
    <w:p w14:paraId="166D7521" w14:textId="77777777" w:rsidR="003B3BE0" w:rsidRPr="00C2425A" w:rsidRDefault="003B3BE0" w:rsidP="003369D6"/>
    <w:p w14:paraId="62D628C9" w14:textId="77777777" w:rsidR="00AF53BD" w:rsidRPr="00C2425A" w:rsidRDefault="00AF53BD" w:rsidP="00870866">
      <w:pPr>
        <w:pStyle w:val="Nadpis"/>
      </w:pPr>
      <w:bookmarkStart w:id="13" w:name="_Toc193187880"/>
      <w:r w:rsidRPr="00C2425A">
        <w:t>Rozsah implementace</w:t>
      </w:r>
      <w:bookmarkEnd w:id="13"/>
    </w:p>
    <w:p w14:paraId="5F55A72F" w14:textId="79C80D41" w:rsidR="00245EA2" w:rsidRPr="00C2425A" w:rsidRDefault="00245EA2" w:rsidP="003369D6">
      <w:r w:rsidRPr="00C2425A">
        <w:t xml:space="preserve">Instalace a nastavení HW a software bude provedeno dodavatelem v produkčním prostředí v prostorách zadavatele. </w:t>
      </w:r>
      <w:r w:rsidR="000972E2" w:rsidRPr="00C2425A">
        <w:t>Instalace a nastavení zahrnuje:</w:t>
      </w:r>
    </w:p>
    <w:p w14:paraId="54D80C51" w14:textId="77777777" w:rsidR="000972E2" w:rsidRPr="00C2425A" w:rsidRDefault="00245EA2" w:rsidP="003369D6">
      <w:pPr>
        <w:pStyle w:val="Odstavecseseznamem"/>
        <w:numPr>
          <w:ilvl w:val="0"/>
          <w:numId w:val="20"/>
        </w:numPr>
      </w:pPr>
      <w:r w:rsidRPr="00C2425A">
        <w:t>Instalační a konfigurační práce AP a centrálního managmentu.</w:t>
      </w:r>
    </w:p>
    <w:p w14:paraId="3948F7BF" w14:textId="77777777" w:rsidR="000972E2" w:rsidRPr="00C2425A" w:rsidRDefault="00245EA2" w:rsidP="003369D6">
      <w:pPr>
        <w:pStyle w:val="Odstavecseseznamem"/>
        <w:numPr>
          <w:ilvl w:val="0"/>
          <w:numId w:val="20"/>
        </w:numPr>
      </w:pPr>
      <w:r w:rsidRPr="00C2425A">
        <w:t>Návrh řešení pro bezobslužný přístup do sítě pro hosty (pacienty).</w:t>
      </w:r>
    </w:p>
    <w:p w14:paraId="08B8F1AD" w14:textId="233E338F" w:rsidR="00245EA2" w:rsidRPr="00C2425A" w:rsidRDefault="00245EA2" w:rsidP="003369D6">
      <w:pPr>
        <w:pStyle w:val="Odstavecseseznamem"/>
        <w:numPr>
          <w:ilvl w:val="0"/>
          <w:numId w:val="20"/>
        </w:numPr>
      </w:pPr>
      <w:r w:rsidRPr="00C2425A">
        <w:t xml:space="preserve">Natažení </w:t>
      </w:r>
      <w:r w:rsidR="006124FD" w:rsidRPr="00C2425A">
        <w:t xml:space="preserve">stíněné strukturované </w:t>
      </w:r>
      <w:r w:rsidRPr="00C2425A">
        <w:t xml:space="preserve">kabeláže </w:t>
      </w:r>
      <w:proofErr w:type="spellStart"/>
      <w:r w:rsidRPr="00C2425A">
        <w:t>cat</w:t>
      </w:r>
      <w:proofErr w:type="spellEnd"/>
      <w:r w:rsidRPr="00C2425A">
        <w:t xml:space="preserve">. </w:t>
      </w:r>
      <w:proofErr w:type="gramStart"/>
      <w:r w:rsidRPr="00C2425A">
        <w:t>6</w:t>
      </w:r>
      <w:r w:rsidR="006124FD" w:rsidRPr="00C2425A">
        <w:t>A</w:t>
      </w:r>
      <w:proofErr w:type="gramEnd"/>
      <w:r w:rsidRPr="00C2425A">
        <w:t xml:space="preserve"> k 1</w:t>
      </w:r>
      <w:r w:rsidR="006124FD" w:rsidRPr="00C2425A">
        <w:t>62</w:t>
      </w:r>
      <w:r w:rsidRPr="00C2425A">
        <w:t xml:space="preserve"> Access Point.</w:t>
      </w:r>
    </w:p>
    <w:p w14:paraId="6016F2AD" w14:textId="1299E707" w:rsidR="00145ABB" w:rsidRDefault="00AD6D19" w:rsidP="00AD6D19">
      <w:r w:rsidRPr="00C2425A">
        <w:t xml:space="preserve">Měření kvality dostupnosti </w:t>
      </w:r>
      <w:proofErr w:type="spellStart"/>
      <w:r w:rsidRPr="00C2425A">
        <w:t>WiFi</w:t>
      </w:r>
      <w:proofErr w:type="spellEnd"/>
      <w:r w:rsidRPr="00C2425A">
        <w:t xml:space="preserve"> signálem v realizovaných budovách a návrh a optimalizace nastavení pro ideální pokrytí vč. dokumentace</w:t>
      </w:r>
      <w:r w:rsidR="00C2425A">
        <w:t>.</w:t>
      </w:r>
    </w:p>
    <w:p w14:paraId="0E88BDFF" w14:textId="77777777" w:rsidR="00C2425A" w:rsidRPr="00C2425A" w:rsidRDefault="00C2425A" w:rsidP="00AD6D19"/>
    <w:p w14:paraId="69723C24" w14:textId="77777777" w:rsidR="00AF53BD" w:rsidRPr="00C2425A" w:rsidRDefault="00AF53BD" w:rsidP="00870866">
      <w:pPr>
        <w:pStyle w:val="Nadpis"/>
      </w:pPr>
      <w:bookmarkStart w:id="14" w:name="_Toc193187881"/>
      <w:r w:rsidRPr="00C2425A">
        <w:lastRenderedPageBreak/>
        <w:t>Testovací provoz (akceptační testy)</w:t>
      </w:r>
      <w:bookmarkEnd w:id="14"/>
    </w:p>
    <w:p w14:paraId="5E7A2A3C" w14:textId="77777777" w:rsidR="00AF53BD" w:rsidRPr="00C2425A" w:rsidRDefault="00AF53BD" w:rsidP="003369D6">
      <w:r w:rsidRPr="00C2425A">
        <w:t xml:space="preserve">Zhotovitel v rámci realizace předmětu smlouvy vypracuje návrh testovacích postupů pro ověření funkčnosti díla a vypracuje jednotlivé akceptační protokoly. Návrh testovacích postupů bude předložen objednateli a po jeho schválení bude objednatelem akceptován. </w:t>
      </w:r>
    </w:p>
    <w:p w14:paraId="6D62FEF2" w14:textId="77777777" w:rsidR="00AF53BD" w:rsidRPr="00C2425A" w:rsidRDefault="00AF53BD" w:rsidP="00145ABB">
      <w:pPr>
        <w:rPr>
          <w:b/>
          <w:bCs/>
          <w:u w:val="single"/>
        </w:rPr>
      </w:pPr>
      <w:r w:rsidRPr="00C2425A">
        <w:rPr>
          <w:b/>
          <w:bCs/>
          <w:u w:val="single"/>
        </w:rPr>
        <w:t xml:space="preserve">Funkční testy </w:t>
      </w:r>
    </w:p>
    <w:p w14:paraId="420FE388" w14:textId="77777777" w:rsidR="00AF53BD" w:rsidRPr="00C2425A" w:rsidRDefault="00AF53BD" w:rsidP="00145ABB">
      <w:r w:rsidRPr="00C2425A">
        <w:t xml:space="preserve">Funkční testy ověří, že implementované řešení poskytuje bezchybně všechny požadované funkcionality uvedené v Technické specifikaci </w:t>
      </w:r>
    </w:p>
    <w:p w14:paraId="7698A9A0" w14:textId="77777777" w:rsidR="00AF53BD" w:rsidRPr="00C2425A" w:rsidRDefault="00AF53BD" w:rsidP="003369D6">
      <w:r w:rsidRPr="00C2425A">
        <w:t>Testovací provoz bude probíhat v sídle objednatele minimálně v délce 30 dní.</w:t>
      </w:r>
    </w:p>
    <w:p w14:paraId="2BD553E2" w14:textId="77777777" w:rsidR="00145ABB" w:rsidRPr="00C2425A" w:rsidRDefault="00145ABB" w:rsidP="003369D6"/>
    <w:p w14:paraId="59B05B6E" w14:textId="4E59909F" w:rsidR="00AF53BD" w:rsidRPr="00C2425A" w:rsidRDefault="000972E2" w:rsidP="00870866">
      <w:pPr>
        <w:pStyle w:val="Nadpis"/>
      </w:pPr>
      <w:r w:rsidRPr="00C2425A">
        <w:t>Požadavky na dokumentaci</w:t>
      </w:r>
    </w:p>
    <w:p w14:paraId="6ECD7F4A" w14:textId="5F68E82C" w:rsidR="00AF53BD" w:rsidRPr="00C2425A" w:rsidRDefault="000972E2" w:rsidP="003369D6">
      <w:r w:rsidRPr="00C2425A">
        <w:rPr>
          <w:b/>
          <w:bCs/>
        </w:rPr>
        <w:t xml:space="preserve">Dodavatel </w:t>
      </w:r>
      <w:r w:rsidR="00AF53BD" w:rsidRPr="00C2425A">
        <w:rPr>
          <w:b/>
          <w:bCs/>
        </w:rPr>
        <w:t>zpracuje komplexní a detailní řešení nasazení díla</w:t>
      </w:r>
      <w:r w:rsidR="00AF53BD" w:rsidRPr="00C2425A">
        <w:t>, a to ve vazbě na požadavky uvedené v této technické dokumentaci.</w:t>
      </w:r>
      <w:r w:rsidRPr="00C2425A">
        <w:t xml:space="preserve"> </w:t>
      </w:r>
      <w:r w:rsidR="00AF53BD" w:rsidRPr="00C2425A">
        <w:t xml:space="preserve">Cílem je zpracování dokumentu v takové míře detailu jednotlivých postupů a prací zasazení do prostředí a jeho nastavení, která umožní dosažení zavedení řešení do rutinního provozu řízenou formou. Dokument proto bude jednoznačně a jasně konkretizovat jednotlivé kroky prací a to min. v rozsahu, které kroky a jakým způsobem budou řešeny, kým budou řešeny, za jaké součinnosti objednatele a v jakém čase. Taková konkretizace bude dále dodržovat časovou, věcnou a logickou souslednost a bude z ní tedy možné v každém okamžiku realizace jednotlivých částí díla určit, co je právě realizováno a v jakém stavu a co bude následovat. </w:t>
      </w:r>
    </w:p>
    <w:p w14:paraId="7A53D265" w14:textId="0FC01F7B" w:rsidR="00AF53BD" w:rsidRPr="00C2425A" w:rsidRDefault="00AF53BD" w:rsidP="003369D6">
      <w:r w:rsidRPr="00C2425A">
        <w:t>Objednatel bude moci na základě takových podkladů alokovat své potřebné kapacity na součinnost a průběžnou kontrolu plnění díla. Bez odsouhlasené prováděcí dokumentace ze strany objednatele, tedy shody objednatele a zhotovitele na způsobu a formě nasazení jednotlivých částí díla nebude moci být započata implementace.</w:t>
      </w:r>
    </w:p>
    <w:p w14:paraId="561B3389" w14:textId="77777777" w:rsidR="000972E2" w:rsidRPr="00C2425A" w:rsidRDefault="000972E2" w:rsidP="000972E2">
      <w:pPr>
        <w:pStyle w:val="Normln-Odstavec"/>
        <w:rPr>
          <w:szCs w:val="20"/>
        </w:rPr>
      </w:pPr>
      <w:r w:rsidRPr="00C2425A">
        <w:rPr>
          <w:rStyle w:val="Siln"/>
          <w:szCs w:val="20"/>
        </w:rPr>
        <w:t xml:space="preserve">Dodavatel zpracuje provozně-technickou dokumentaci v rozsahu </w:t>
      </w:r>
      <w:r w:rsidRPr="00C2425A">
        <w:rPr>
          <w:szCs w:val="20"/>
        </w:rPr>
        <w:t>dokumentace skutečného provedení a provozní dokumentace.</w:t>
      </w:r>
    </w:p>
    <w:p w14:paraId="6C94F81E" w14:textId="77777777" w:rsidR="000972E2" w:rsidRPr="00C2425A" w:rsidRDefault="000972E2" w:rsidP="000972E2">
      <w:pPr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Dokumentace skutečného provedení musí obsahovat minimálně tyto části:</w:t>
      </w:r>
    </w:p>
    <w:p w14:paraId="29FF7F93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cílového stavu včetně popisu funkcionalit jednotlivých HW a SW částí systému;</w:t>
      </w:r>
    </w:p>
    <w:p w14:paraId="53EF6A9B" w14:textId="15DB5141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výkresovou dokumentaci;</w:t>
      </w:r>
    </w:p>
    <w:p w14:paraId="49CDFACD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cs="Arial"/>
        </w:rPr>
      </w:pPr>
      <w:r w:rsidRPr="00C2425A">
        <w:rPr>
          <w:rFonts w:cs="Arial"/>
          <w:szCs w:val="22"/>
        </w:rPr>
        <w:t>seznam dodaného hardware, jeho produktových čísel a dalších podrobností (např. sériových čísel, MAC adres, IP adres a umístění apod.);</w:t>
      </w:r>
    </w:p>
    <w:p w14:paraId="7E1B607D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cs="Arial"/>
          <w:szCs w:val="22"/>
        </w:rPr>
        <w:t>seznam všech zařízení, rozhraní a jejich MAC adres a k nim odpovídajících IP adres použitých v nové infrastruktuře;</w:t>
      </w:r>
    </w:p>
    <w:p w14:paraId="7B518954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zajištění bezpečnosti informací;</w:t>
      </w:r>
    </w:p>
    <w:p w14:paraId="020E4757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designu řešení a jeho konfigurace;</w:t>
      </w:r>
    </w:p>
    <w:p w14:paraId="6466BEEF" w14:textId="4A8976B9" w:rsidR="00AD6D19" w:rsidRPr="00C2425A" w:rsidRDefault="00AD6D19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 xml:space="preserve">Zpráva z měření stavu pokrytí signálem vč. mapy pokrytí </w:t>
      </w:r>
    </w:p>
    <w:p w14:paraId="78D396C4" w14:textId="2F156F9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vazby na stávající infastrukturu a/nebo systémy a jejich konfigurace.</w:t>
      </w:r>
    </w:p>
    <w:p w14:paraId="2063293C" w14:textId="173198F9" w:rsidR="005231F7" w:rsidRPr="00C2425A" w:rsidRDefault="005231F7" w:rsidP="000972E2">
      <w:pPr>
        <w:pStyle w:val="Normln-Odstavec"/>
        <w:rPr>
          <w:rStyle w:val="Siln"/>
          <w:szCs w:val="20"/>
        </w:rPr>
      </w:pPr>
      <w:r w:rsidRPr="00C2425A">
        <w:rPr>
          <w:rStyle w:val="Siln"/>
          <w:szCs w:val="20"/>
        </w:rPr>
        <w:t xml:space="preserve">Provozní dokumentace </w:t>
      </w:r>
      <w:r w:rsidRPr="00C2425A">
        <w:rPr>
          <w:rStyle w:val="Siln"/>
          <w:b w:val="0"/>
          <w:bCs w:val="0"/>
          <w:szCs w:val="20"/>
        </w:rPr>
        <w:t>bude obsahovat instrukce a postupy pro administrátory a bezpečnostní správce zařízení.</w:t>
      </w:r>
    </w:p>
    <w:p w14:paraId="6A4F05E2" w14:textId="7574E431" w:rsidR="000972E2" w:rsidRDefault="000972E2" w:rsidP="000972E2">
      <w:pPr>
        <w:pStyle w:val="Normln-Odstavec"/>
      </w:pPr>
      <w:r w:rsidRPr="00C2425A">
        <w:rPr>
          <w:rStyle w:val="Siln"/>
          <w:szCs w:val="20"/>
        </w:rPr>
        <w:t xml:space="preserve">Dodavatel dále zpracuje projektovou dokumentaci </w:t>
      </w:r>
      <w:r w:rsidRPr="00C2425A">
        <w:rPr>
          <w:rStyle w:val="Siln"/>
          <w:b w:val="0"/>
          <w:bCs w:val="0"/>
          <w:szCs w:val="20"/>
        </w:rPr>
        <w:t>v rozsahu odpovídajícím předmětu plnění, zejména pak zápisy z kontrolních dnů a projektových porad a další odpovídající podklady nebo dokumenty související s plněním a dodáním předmětu plnění.</w:t>
      </w:r>
    </w:p>
    <w:p w14:paraId="4C53E8C0" w14:textId="77777777" w:rsidR="00145ABB" w:rsidRDefault="00145ABB" w:rsidP="003369D6"/>
    <w:p w14:paraId="5F9BDDC2" w14:textId="7B27EC81" w:rsidR="00E24C5C" w:rsidRDefault="00E24C5C" w:rsidP="003369D6">
      <w:r>
        <w:t>V souvislosti s dodávkou strukturované kabeláže dodavatel dále zpracuje a/nebo zajistí, případně zabezpečí:</w:t>
      </w:r>
    </w:p>
    <w:p w14:paraId="262EF074" w14:textId="1E4A36D3" w:rsidR="00E24C5C" w:rsidRPr="00E24C5C" w:rsidRDefault="00E24C5C" w:rsidP="00E24C5C">
      <w:pPr>
        <w:numPr>
          <w:ilvl w:val="0"/>
          <w:numId w:val="25"/>
        </w:numPr>
      </w:pPr>
      <w:r w:rsidRPr="00E24C5C">
        <w:t>projektov</w:t>
      </w:r>
      <w:r>
        <w:t>ou</w:t>
      </w:r>
      <w:r w:rsidRPr="00E24C5C">
        <w:t xml:space="preserve"> dokumentac</w:t>
      </w:r>
      <w:r>
        <w:t>i</w:t>
      </w:r>
      <w:r w:rsidRPr="00E24C5C">
        <w:t xml:space="preserve"> skutečného provedení díla ve třech vyhotoveních.  Projektová dokumentace skutečného provedení díla bude objednateli dodána také 2x v elektronické </w:t>
      </w:r>
      <w:r w:rsidRPr="00E24C5C">
        <w:lastRenderedPageBreak/>
        <w:t>podobě, a to na CD ROM ve formátu pro texty *.doc (*.</w:t>
      </w:r>
      <w:proofErr w:type="spellStart"/>
      <w:r w:rsidRPr="00E24C5C">
        <w:t>rtf</w:t>
      </w:r>
      <w:proofErr w:type="spellEnd"/>
      <w:r w:rsidRPr="00E24C5C">
        <w:t>), pro tabulky *.</w:t>
      </w:r>
      <w:proofErr w:type="spellStart"/>
      <w:r w:rsidRPr="00E24C5C">
        <w:t>xls</w:t>
      </w:r>
      <w:proofErr w:type="spellEnd"/>
      <w:r w:rsidRPr="00E24C5C">
        <w:t>, pro skenované dokumenty *.pdf, pro výkresovou dokumentaci *.</w:t>
      </w:r>
      <w:proofErr w:type="spellStart"/>
      <w:r w:rsidRPr="00E24C5C">
        <w:t>dwg</w:t>
      </w:r>
      <w:proofErr w:type="spellEnd"/>
      <w:r w:rsidRPr="00E24C5C">
        <w:t xml:space="preserve"> a zároveň *.pdf. Případné vícetisky budou účtovány zvlášť, bude</w:t>
      </w:r>
      <w:r w:rsidRPr="00E24C5C">
        <w:noBreakHyphen/>
        <w:t>li k provedení díla potřebné</w:t>
      </w:r>
      <w:r>
        <w:t>;</w:t>
      </w:r>
    </w:p>
    <w:p w14:paraId="7E9FECA3" w14:textId="2AD13338" w:rsidR="00E24C5C" w:rsidRPr="00E24C5C" w:rsidRDefault="00E24C5C" w:rsidP="00E24C5C">
      <w:pPr>
        <w:numPr>
          <w:ilvl w:val="0"/>
          <w:numId w:val="25"/>
        </w:numPr>
      </w:pPr>
      <w:r w:rsidRPr="00E24C5C">
        <w:t>dodávk</w:t>
      </w:r>
      <w:r>
        <w:t>u</w:t>
      </w:r>
      <w:r w:rsidRPr="00E24C5C">
        <w:t xml:space="preserve"> všech dokladů o zkouškách, revizích, atestech a provozních návodů a předpisů v</w:t>
      </w:r>
      <w:r>
        <w:t> </w:t>
      </w:r>
      <w:r w:rsidRPr="00E24C5C">
        <w:t>českém jazyce (všechny doklady ve 2 vyhotoveních)</w:t>
      </w:r>
      <w:r>
        <w:t>;</w:t>
      </w:r>
    </w:p>
    <w:p w14:paraId="161A4658" w14:textId="502AD1B5" w:rsidR="00E24C5C" w:rsidRPr="00E24C5C" w:rsidRDefault="00E24C5C" w:rsidP="00E24C5C">
      <w:pPr>
        <w:numPr>
          <w:ilvl w:val="0"/>
          <w:numId w:val="25"/>
        </w:numPr>
      </w:pPr>
      <w:r w:rsidRPr="00E24C5C">
        <w:t>provedení předepsaných zkoušek dle platných právních předpisů a technických norem, úspěšné provedení těchto zkoušek je podmínkou k převzetí díla</w:t>
      </w:r>
      <w:r>
        <w:t>;</w:t>
      </w:r>
    </w:p>
    <w:p w14:paraId="2CD35165" w14:textId="77777777" w:rsidR="00E24C5C" w:rsidRDefault="00E24C5C" w:rsidP="00E24C5C">
      <w:pPr>
        <w:numPr>
          <w:ilvl w:val="0"/>
          <w:numId w:val="25"/>
        </w:numPr>
      </w:pPr>
      <w:r w:rsidRPr="00E24C5C">
        <w:t>zajištění ochrany proti šíření prašnosti a nadměrného hluku</w:t>
      </w:r>
      <w:r>
        <w:t>;</w:t>
      </w:r>
    </w:p>
    <w:p w14:paraId="1C80859D" w14:textId="10148748" w:rsidR="00E24C5C" w:rsidRDefault="00E24C5C" w:rsidP="00E24C5C">
      <w:pPr>
        <w:numPr>
          <w:ilvl w:val="0"/>
          <w:numId w:val="25"/>
        </w:numPr>
      </w:pPr>
      <w:r w:rsidRPr="00E24C5C">
        <w:t>zajištění zpracování všech případných dalších dokumentací potřebných pro provedení díla</w:t>
      </w:r>
      <w:r>
        <w:t>.</w:t>
      </w:r>
    </w:p>
    <w:p w14:paraId="542DB056" w14:textId="77777777" w:rsidR="00E24C5C" w:rsidRPr="00FE39B8" w:rsidRDefault="00E24C5C" w:rsidP="003369D6"/>
    <w:p w14:paraId="7CBB6B51" w14:textId="77777777" w:rsidR="00AF53BD" w:rsidRPr="00C2425A" w:rsidRDefault="00AF53BD" w:rsidP="00870866">
      <w:pPr>
        <w:pStyle w:val="Nadpis"/>
      </w:pPr>
      <w:bookmarkStart w:id="15" w:name="_Toc193187883"/>
      <w:commentRangeStart w:id="16"/>
      <w:r w:rsidRPr="00C2425A">
        <w:t>Podpora a servis</w:t>
      </w:r>
      <w:bookmarkEnd w:id="15"/>
      <w:r w:rsidRPr="00C2425A">
        <w:t xml:space="preserve"> </w:t>
      </w:r>
    </w:p>
    <w:p w14:paraId="3D1101BB" w14:textId="1FE5F287" w:rsidR="00AF53BD" w:rsidRPr="00C2425A" w:rsidRDefault="00AF53BD" w:rsidP="003369D6">
      <w:r w:rsidRPr="00C2425A">
        <w:t>Min. 60 měsíců na HW zařízení a na veškerý SW, který je neoddělitelnou součástí HW zařízení, včetně práva na nové verze.</w:t>
      </w:r>
      <w:r w:rsidR="00245EA2" w:rsidRPr="00C2425A">
        <w:t xml:space="preserve"> </w:t>
      </w:r>
    </w:p>
    <w:p w14:paraId="39CAD385" w14:textId="04F1231D" w:rsidR="00245EA2" w:rsidRPr="00C2425A" w:rsidRDefault="004C123A" w:rsidP="003369D6">
      <w:r w:rsidRPr="00C2425A">
        <w:t>1</w:t>
      </w:r>
      <w:r w:rsidR="00245EA2" w:rsidRPr="00C2425A">
        <w:t>x ročně profylaktická / konzultační kontrola v délce 4 hodin na dodané řešení po dobu min. 60 měsíců (konzultace nastavení, aktualizace).</w:t>
      </w:r>
      <w:commentRangeEnd w:id="16"/>
      <w:r w:rsidR="00D17A1A" w:rsidRPr="00C2425A">
        <w:rPr>
          <w:rStyle w:val="Odkaznakoment"/>
          <w:rFonts w:asciiTheme="minorHAnsi" w:eastAsiaTheme="minorHAnsi" w:hAnsiTheme="minorHAnsi"/>
        </w:rPr>
        <w:commentReference w:id="16"/>
      </w:r>
    </w:p>
    <w:p w14:paraId="595490AC" w14:textId="13790081" w:rsidR="003968C2" w:rsidRPr="00C2425A" w:rsidRDefault="003968C2" w:rsidP="003369D6">
      <w:pPr>
        <w:rPr>
          <w:b/>
        </w:rPr>
      </w:pPr>
      <w:r w:rsidRPr="00C2425A">
        <w:t>Dostupnost systémové podpory dodavatele v režimu 8x5 s dotací minimálně 8 hodin ročně po dobu minimálně 60 měsíců</w:t>
      </w:r>
      <w:r w:rsidR="00BF2ADB" w:rsidRPr="00C2425A">
        <w:t xml:space="preserve"> s odezvou do následujícího pracovního dne</w:t>
      </w:r>
      <w:r w:rsidRPr="00C2425A">
        <w:t xml:space="preserve">. </w:t>
      </w:r>
    </w:p>
    <w:p w14:paraId="25C1B6B5" w14:textId="77777777" w:rsidR="00245EA2" w:rsidRDefault="00245EA2" w:rsidP="00145ABB"/>
    <w:p w14:paraId="75C106B7" w14:textId="77777777" w:rsidR="006124BC" w:rsidRDefault="006124BC" w:rsidP="00145ABB"/>
    <w:p w14:paraId="615F5C46" w14:textId="0E074AF4" w:rsidR="00422E16" w:rsidRPr="00E17C19" w:rsidRDefault="006124BC" w:rsidP="00422E16">
      <w:pPr>
        <w:pStyle w:val="NadpisA"/>
      </w:pPr>
      <w:bookmarkStart w:id="17" w:name="_Toc193187901"/>
      <w:r w:rsidRPr="00E17C19">
        <w:t>POŽADAVKY ZADAVATELE</w:t>
      </w:r>
      <w:bookmarkEnd w:id="17"/>
      <w:r w:rsidRPr="00E17C19">
        <w:t xml:space="preserve"> NA POIMPLEMENTAČNÍ PODPORU</w:t>
      </w:r>
    </w:p>
    <w:p w14:paraId="41E98672" w14:textId="77777777" w:rsidR="00422E16" w:rsidRPr="00E17C19" w:rsidRDefault="00422E16" w:rsidP="00422E16">
      <w:pPr>
        <w:rPr>
          <w:rFonts w:cs="Arial"/>
        </w:rPr>
      </w:pPr>
      <w:r w:rsidRPr="00E17C19">
        <w:rPr>
          <w:rFonts w:cs="Arial"/>
        </w:rPr>
        <w:t xml:space="preserve">Zadavatel požaduje poskytnutí </w:t>
      </w:r>
      <w:proofErr w:type="spellStart"/>
      <w:r w:rsidRPr="00E17C19">
        <w:rPr>
          <w:rFonts w:cs="Arial"/>
        </w:rPr>
        <w:t>poimplementační</w:t>
      </w:r>
      <w:proofErr w:type="spellEnd"/>
      <w:r w:rsidRPr="00E17C19">
        <w:rPr>
          <w:rFonts w:cs="Arial"/>
        </w:rPr>
        <w:t xml:space="preserve"> technické podpory dodaného řešení proškoleným zaměstnancům zadavatele (administrátorům). Podpora bude využita zejména pro potřeby následného provozu a správy dodaných technologií a dodaného řešení. </w:t>
      </w:r>
    </w:p>
    <w:p w14:paraId="36D789C6" w14:textId="1592AE45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 xml:space="preserve">Požadovaný rozsah technické podpory – 8 hodin po dobu </w:t>
      </w:r>
      <w:r w:rsidR="00733590" w:rsidRPr="00E17C19">
        <w:rPr>
          <w:rFonts w:cs="Arial"/>
        </w:rPr>
        <w:t>3</w:t>
      </w:r>
      <w:r w:rsidRPr="00E17C19">
        <w:rPr>
          <w:rFonts w:cs="Arial"/>
        </w:rPr>
        <w:t xml:space="preserve"> měsíc</w:t>
      </w:r>
      <w:r w:rsidR="00733590" w:rsidRPr="00E17C19">
        <w:rPr>
          <w:rFonts w:cs="Arial"/>
        </w:rPr>
        <w:t>ů</w:t>
      </w:r>
      <w:r w:rsidRPr="00E17C19">
        <w:rPr>
          <w:rFonts w:cs="Arial"/>
        </w:rPr>
        <w:t xml:space="preserve"> od finální akceptace dodaného řešení. </w:t>
      </w:r>
    </w:p>
    <w:p w14:paraId="05CD39EA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 xml:space="preserve">Technická podpora může být poskytována i vzdáleně (např. MS Teams) nebo telefonicky. </w:t>
      </w:r>
    </w:p>
    <w:p w14:paraId="2D337657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>Technická podpora bude dostupná v pracovní době od 7:00 do 16:00.</w:t>
      </w:r>
    </w:p>
    <w:p w14:paraId="2A4FA127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>Podpora bude poskytována technickým specialistou, který byl součástí realizačního týmu, případně technickým specialistou odpovídající kvalifikace.</w:t>
      </w:r>
    </w:p>
    <w:p w14:paraId="4BE61BD3" w14:textId="77777777" w:rsidR="00422E16" w:rsidRDefault="00422E16" w:rsidP="00422E16">
      <w:r w:rsidRPr="00E17C19">
        <w:rPr>
          <w:rFonts w:cs="Arial"/>
        </w:rPr>
        <w:t>Požadavek na podporu bude možné zadat prostřednictvím helpdeskového systému dodavatele nebo e-mailem, příp. telefonicky.</w:t>
      </w:r>
    </w:p>
    <w:p w14:paraId="123E4B34" w14:textId="77777777" w:rsidR="00422E16" w:rsidRDefault="00422E16" w:rsidP="00A3686A"/>
    <w:p w14:paraId="4E62B8B3" w14:textId="7AE4CB31" w:rsidR="00CA5030" w:rsidRPr="00E17C19" w:rsidRDefault="006124BC" w:rsidP="00CA5030">
      <w:pPr>
        <w:pStyle w:val="NadpisA"/>
      </w:pPr>
      <w:bookmarkStart w:id="18" w:name="_Toc193187903"/>
      <w:r w:rsidRPr="00E17C19">
        <w:t>POŽADAVKY ZADAVATELE</w:t>
      </w:r>
      <w:bookmarkEnd w:id="18"/>
      <w:r w:rsidRPr="00E17C19">
        <w:t xml:space="preserve"> NA HARMONOGRAM PLNĚNÍ</w:t>
      </w:r>
    </w:p>
    <w:p w14:paraId="0B3FB251" w14:textId="01A611E3" w:rsidR="00CA5030" w:rsidRDefault="0025188D" w:rsidP="00A3686A">
      <w:pPr>
        <w:rPr>
          <w:rFonts w:cs="Arial"/>
        </w:rPr>
      </w:pPr>
      <w:r w:rsidRPr="00E17C19">
        <w:rPr>
          <w:rFonts w:cs="Arial"/>
        </w:rPr>
        <w:t xml:space="preserve">Zadavatel </w:t>
      </w:r>
      <w:r w:rsidR="007D1F32" w:rsidRPr="00E17C19">
        <w:rPr>
          <w:rFonts w:cs="Arial"/>
        </w:rPr>
        <w:t xml:space="preserve">dále předkládá návrh </w:t>
      </w:r>
      <w:r w:rsidRPr="00E17C19">
        <w:rPr>
          <w:rFonts w:cs="Arial"/>
        </w:rPr>
        <w:t>harmonogramu plnění – zde jsou uvedeny možné lhůty pro realizaci dodávky. Údaj D značí datum nabytí účinnosti Smlouvy o dílo. Čísla značí počet kalendářních dnů.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6"/>
        <w:gridCol w:w="1700"/>
        <w:gridCol w:w="1696"/>
      </w:tblGrid>
      <w:tr w:rsidR="0025188D" w:rsidRPr="00CD1479" w14:paraId="6275BC32" w14:textId="77777777" w:rsidTr="00592E3B">
        <w:trPr>
          <w:tblHeader/>
        </w:trPr>
        <w:tc>
          <w:tcPr>
            <w:tcW w:w="3126" w:type="pct"/>
            <w:shd w:val="clear" w:color="auto" w:fill="BFBFBF" w:themeFill="background1" w:themeFillShade="BF"/>
            <w:vAlign w:val="center"/>
          </w:tcPr>
          <w:p w14:paraId="6E36096A" w14:textId="77777777" w:rsidR="0025188D" w:rsidRPr="00CD1479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Aktivita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14:paraId="2A1414D4" w14:textId="77777777" w:rsidR="0025188D" w:rsidRPr="00CD1479" w:rsidDel="00F33D37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Začátek</w:t>
            </w:r>
          </w:p>
        </w:tc>
        <w:tc>
          <w:tcPr>
            <w:tcW w:w="936" w:type="pct"/>
            <w:shd w:val="clear" w:color="auto" w:fill="BFBFBF" w:themeFill="background1" w:themeFillShade="BF"/>
            <w:vAlign w:val="center"/>
          </w:tcPr>
          <w:p w14:paraId="5F6FE374" w14:textId="77777777" w:rsidR="0025188D" w:rsidRPr="00CD1479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Termín splnění</w:t>
            </w:r>
          </w:p>
        </w:tc>
      </w:tr>
      <w:tr w:rsidR="0025188D" w:rsidRPr="00837F5A" w14:paraId="7195E513" w14:textId="77777777" w:rsidTr="00592E3B">
        <w:tc>
          <w:tcPr>
            <w:tcW w:w="3126" w:type="pct"/>
            <w:shd w:val="clear" w:color="auto" w:fill="auto"/>
            <w:vAlign w:val="center"/>
          </w:tcPr>
          <w:p w14:paraId="59C1A8F2" w14:textId="195DEB03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Nabytí účinnosti </w:t>
            </w:r>
            <w:r w:rsidRPr="00837F5A">
              <w:rPr>
                <w:rFonts w:cs="Arial"/>
                <w:bCs/>
              </w:rPr>
              <w:t>smlouvy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57B437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4D95B72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</w:tr>
      <w:tr w:rsidR="0025188D" w:rsidRPr="00837F5A" w14:paraId="5F2730B6" w14:textId="77777777" w:rsidTr="00592E3B">
        <w:tc>
          <w:tcPr>
            <w:tcW w:w="3126" w:type="pct"/>
            <w:shd w:val="clear" w:color="auto" w:fill="auto"/>
            <w:vAlign w:val="center"/>
          </w:tcPr>
          <w:p w14:paraId="1E8200BE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projektu – úvodní projektová schůzka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C632FCB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42D767C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D+7</w:t>
            </w:r>
          </w:p>
        </w:tc>
      </w:tr>
      <w:tr w:rsidR="0025188D" w:rsidRPr="00837F5A" w14:paraId="38FFF627" w14:textId="77777777" w:rsidTr="00592E3B">
        <w:tc>
          <w:tcPr>
            <w:tcW w:w="3126" w:type="pct"/>
            <w:shd w:val="clear" w:color="auto" w:fill="auto"/>
            <w:vAlign w:val="center"/>
          </w:tcPr>
          <w:p w14:paraId="7D84A2C3" w14:textId="2D84D1B2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Předimplementační analýza – zpracování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464FB37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D+7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10647D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D+17</w:t>
            </w:r>
          </w:p>
        </w:tc>
      </w:tr>
      <w:tr w:rsidR="0025188D" w:rsidRPr="00837F5A" w14:paraId="26816630" w14:textId="77777777" w:rsidTr="00592E3B">
        <w:tc>
          <w:tcPr>
            <w:tcW w:w="3126" w:type="pct"/>
            <w:shd w:val="clear" w:color="auto" w:fill="auto"/>
            <w:vAlign w:val="center"/>
          </w:tcPr>
          <w:p w14:paraId="4E92FC3A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Předimplementační analýza – připomínkové řízení, schválení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7E3108A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D+17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CFE654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D+24</w:t>
            </w:r>
          </w:p>
        </w:tc>
      </w:tr>
      <w:tr w:rsidR="0025188D" w:rsidRPr="00837F5A" w14:paraId="1F679F3E" w14:textId="77777777" w:rsidTr="00592E3B">
        <w:tc>
          <w:tcPr>
            <w:tcW w:w="3126" w:type="pct"/>
            <w:shd w:val="clear" w:color="auto" w:fill="auto"/>
            <w:vAlign w:val="center"/>
          </w:tcPr>
          <w:p w14:paraId="4D39F4C9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Prováděcí dokumentace – zpracování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370A972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D+24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4215FDE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D+34</w:t>
            </w:r>
          </w:p>
        </w:tc>
      </w:tr>
      <w:tr w:rsidR="0025188D" w:rsidRPr="00837F5A" w14:paraId="552F33AE" w14:textId="77777777" w:rsidTr="00592E3B">
        <w:tc>
          <w:tcPr>
            <w:tcW w:w="3126" w:type="pct"/>
            <w:shd w:val="clear" w:color="auto" w:fill="auto"/>
            <w:vAlign w:val="center"/>
          </w:tcPr>
          <w:p w14:paraId="6554CDF6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lastRenderedPageBreak/>
              <w:t>Prováděcí dokumentace – připomínkové řízení, schválení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16E384D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D+34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C72A4F5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D+40</w:t>
            </w:r>
          </w:p>
        </w:tc>
      </w:tr>
      <w:tr w:rsidR="0025188D" w:rsidRPr="00837F5A" w14:paraId="0A3F6D89" w14:textId="77777777" w:rsidTr="00592E3B">
        <w:tc>
          <w:tcPr>
            <w:tcW w:w="3126" w:type="pct"/>
            <w:shd w:val="clear" w:color="auto" w:fill="auto"/>
            <w:vAlign w:val="center"/>
          </w:tcPr>
          <w:p w14:paraId="0EDE7627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Realizace předmětu plnění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76764C7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D+40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491D905" w14:textId="0054D6F1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C9066C" w:rsidRPr="00837F5A">
              <w:rPr>
                <w:rFonts w:cs="Arial"/>
              </w:rPr>
              <w:t>1</w:t>
            </w:r>
            <w:r w:rsidR="00C9066C">
              <w:rPr>
                <w:rFonts w:cs="Arial"/>
              </w:rPr>
              <w:t>49</w:t>
            </w:r>
          </w:p>
        </w:tc>
      </w:tr>
      <w:tr w:rsidR="0025188D" w:rsidRPr="00837F5A" w14:paraId="09369F53" w14:textId="77777777" w:rsidTr="00592E3B">
        <w:tc>
          <w:tcPr>
            <w:tcW w:w="3126" w:type="pct"/>
            <w:shd w:val="clear" w:color="auto" w:fill="auto"/>
            <w:vAlign w:val="center"/>
          </w:tcPr>
          <w:p w14:paraId="3E59D6A5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Školení administrátorů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78C426C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D+40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ADCF1D6" w14:textId="15219ECA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C9066C" w:rsidRPr="00837F5A">
              <w:rPr>
                <w:rFonts w:cs="Arial"/>
              </w:rPr>
              <w:t>1</w:t>
            </w:r>
            <w:r w:rsidR="00C9066C">
              <w:rPr>
                <w:rFonts w:cs="Arial"/>
              </w:rPr>
              <w:t>49</w:t>
            </w:r>
          </w:p>
        </w:tc>
      </w:tr>
      <w:tr w:rsidR="0025188D" w:rsidRPr="00837F5A" w14:paraId="4843A51D" w14:textId="77777777" w:rsidTr="00592E3B">
        <w:tc>
          <w:tcPr>
            <w:tcW w:w="3126" w:type="pct"/>
            <w:shd w:val="clear" w:color="auto" w:fill="auto"/>
            <w:vAlign w:val="center"/>
          </w:tcPr>
          <w:p w14:paraId="0F8ADAF1" w14:textId="358184FC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Testovací </w:t>
            </w:r>
            <w:r w:rsidRPr="00837F5A">
              <w:rPr>
                <w:rFonts w:cs="Arial"/>
                <w:bCs/>
              </w:rPr>
              <w:t>provoz</w:t>
            </w:r>
            <w:r w:rsidR="00C9066C">
              <w:rPr>
                <w:rFonts w:cs="Arial"/>
                <w:bCs/>
              </w:rPr>
              <w:t xml:space="preserve"> a akceptační testy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5CFE1455" w14:textId="43145CAF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C9066C" w:rsidRPr="00837F5A">
              <w:rPr>
                <w:rFonts w:cs="Arial"/>
              </w:rPr>
              <w:t>1</w:t>
            </w:r>
            <w:r w:rsidR="00C9066C">
              <w:rPr>
                <w:rFonts w:cs="Arial"/>
              </w:rPr>
              <w:t>50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A5EF758" w14:textId="7ED58C5B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C9066C">
              <w:rPr>
                <w:rFonts w:cs="Arial"/>
              </w:rPr>
              <w:t>180</w:t>
            </w:r>
          </w:p>
        </w:tc>
      </w:tr>
      <w:tr w:rsidR="0025188D" w:rsidRPr="00837F5A" w14:paraId="4A2F7E20" w14:textId="77777777" w:rsidTr="00592E3B">
        <w:tc>
          <w:tcPr>
            <w:tcW w:w="3126" w:type="pct"/>
            <w:shd w:val="clear" w:color="auto" w:fill="auto"/>
            <w:vAlign w:val="center"/>
          </w:tcPr>
          <w:p w14:paraId="3B5A9F38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ostrého provozu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E9AEF21" w14:textId="2FC8C43D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</w:t>
            </w:r>
            <w:r>
              <w:rPr>
                <w:rFonts w:cs="Arial"/>
              </w:rPr>
              <w:t>81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8D478EA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 xml:space="preserve"> -</w:t>
            </w:r>
          </w:p>
        </w:tc>
      </w:tr>
    </w:tbl>
    <w:p w14:paraId="12A7AEAE" w14:textId="77777777" w:rsidR="0025188D" w:rsidRDefault="0025188D" w:rsidP="00A3686A">
      <w:pPr>
        <w:rPr>
          <w:u w:val="single"/>
        </w:rPr>
      </w:pPr>
    </w:p>
    <w:p w14:paraId="5BB33362" w14:textId="6B7F42ED" w:rsidR="0025188D" w:rsidRPr="00733590" w:rsidRDefault="0025188D" w:rsidP="0025188D">
      <w:pPr>
        <w:pStyle w:val="Normln-Odstavec"/>
        <w:rPr>
          <w:rFonts w:cs="Arial"/>
          <w:szCs w:val="20"/>
        </w:rPr>
      </w:pPr>
      <w:r w:rsidRPr="00733590">
        <w:rPr>
          <w:rFonts w:cs="Arial"/>
          <w:szCs w:val="20"/>
        </w:rPr>
        <w:t xml:space="preserve">Dodavatel může dle svého uvážení výše uvedené lhůty trvání </w:t>
      </w:r>
      <w:r w:rsidR="007D1F32">
        <w:rPr>
          <w:rFonts w:cs="Arial"/>
          <w:szCs w:val="20"/>
        </w:rPr>
        <w:t xml:space="preserve">změnit </w:t>
      </w:r>
      <w:r w:rsidRPr="00733590">
        <w:rPr>
          <w:rFonts w:cs="Arial"/>
          <w:szCs w:val="20"/>
        </w:rPr>
        <w:t>při dodržení všech částí předmětu plnění a bez snížení kvality dodávaných služeb</w:t>
      </w:r>
      <w:r w:rsidR="00C9066C">
        <w:rPr>
          <w:rFonts w:cs="Arial"/>
          <w:szCs w:val="20"/>
        </w:rPr>
        <w:t>, přičemž testovací provoz bude trvat minimálně 30 dnů</w:t>
      </w:r>
      <w:r w:rsidRPr="00733590">
        <w:rPr>
          <w:rFonts w:cs="Arial"/>
          <w:szCs w:val="20"/>
        </w:rPr>
        <w:t xml:space="preserve">. </w:t>
      </w:r>
    </w:p>
    <w:p w14:paraId="04C72FFD" w14:textId="29447E6E" w:rsidR="0025188D" w:rsidRPr="00733590" w:rsidRDefault="0025188D" w:rsidP="0025188D">
      <w:pPr>
        <w:pStyle w:val="Normln-Odstavec"/>
        <w:rPr>
          <w:rFonts w:cs="Arial"/>
          <w:szCs w:val="20"/>
        </w:rPr>
      </w:pPr>
      <w:r w:rsidRPr="00733590">
        <w:rPr>
          <w:rFonts w:cs="Arial"/>
          <w:szCs w:val="20"/>
        </w:rPr>
        <w:t>Maximální lhůty trvání nesmí dodavatel při tvorbě detailního harmonogramu prodloužit.</w:t>
      </w:r>
    </w:p>
    <w:p w14:paraId="6888BA46" w14:textId="3331B1A8" w:rsidR="0025188D" w:rsidRPr="00733590" w:rsidRDefault="0025188D" w:rsidP="0025188D">
      <w:pPr>
        <w:pStyle w:val="Normln-Odstavec"/>
        <w:rPr>
          <w:rFonts w:cs="Arial"/>
          <w:b/>
          <w:bCs/>
          <w:szCs w:val="20"/>
        </w:rPr>
      </w:pPr>
      <w:bookmarkStart w:id="19" w:name="_Hlk100155510"/>
      <w:r w:rsidRPr="00733590">
        <w:rPr>
          <w:rFonts w:cs="Arial"/>
          <w:b/>
          <w:bCs/>
          <w:szCs w:val="20"/>
        </w:rPr>
        <w:t>Detailní harmonogram plnění uvede dodavatel ve své nabídce.</w:t>
      </w:r>
      <w:bookmarkEnd w:id="19"/>
    </w:p>
    <w:p w14:paraId="38746510" w14:textId="3D20A7C3" w:rsidR="0025188D" w:rsidRPr="00733590" w:rsidRDefault="0025188D" w:rsidP="0025188D">
      <w:pPr>
        <w:rPr>
          <w:b/>
          <w:bCs/>
          <w:u w:val="single"/>
        </w:rPr>
      </w:pPr>
      <w:bookmarkStart w:id="20" w:name="_Hlk100155529"/>
      <w:r w:rsidRPr="00733590">
        <w:rPr>
          <w:rFonts w:cs="Arial"/>
          <w:b/>
          <w:bCs/>
        </w:rPr>
        <w:t xml:space="preserve">Dodavatel uvede </w:t>
      </w:r>
      <w:r w:rsidR="0092095D" w:rsidRPr="00733590">
        <w:rPr>
          <w:rFonts w:cs="Arial"/>
          <w:b/>
          <w:bCs/>
        </w:rPr>
        <w:t xml:space="preserve">ve své nabídce (jako součást harmonogramu) požadovanou </w:t>
      </w:r>
      <w:r w:rsidRPr="00733590">
        <w:rPr>
          <w:rFonts w:cs="Arial"/>
          <w:b/>
          <w:bCs/>
        </w:rPr>
        <w:t>součinnost zadavatele pro splnění harmonogramu plnění</w:t>
      </w:r>
      <w:r w:rsidR="00FD5488" w:rsidRPr="00733590">
        <w:rPr>
          <w:rFonts w:cs="Arial"/>
          <w:b/>
          <w:bCs/>
        </w:rPr>
        <w:t>.</w:t>
      </w:r>
      <w:bookmarkEnd w:id="20"/>
    </w:p>
    <w:sectPr w:rsidR="0025188D" w:rsidRPr="00733590" w:rsidSect="002D5C82">
      <w:pgSz w:w="11906" w:h="16838"/>
      <w:pgMar w:top="1417" w:right="1417" w:bottom="1417" w:left="1417" w:header="708" w:footer="657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Kočvara Petr, Bc." w:date="2025-04-08T14:12:00Z" w:initials="PK">
    <w:p w14:paraId="143354D7" w14:textId="5E2CD5BF" w:rsidR="008D1E43" w:rsidRDefault="008D1E43">
      <w:pPr>
        <w:pStyle w:val="Textkomente"/>
      </w:pPr>
      <w:r>
        <w:rPr>
          <w:rStyle w:val="Odkaznakoment"/>
        </w:rPr>
        <w:annotationRef/>
      </w:r>
      <w:r>
        <w:t>S tím by se asi dalo souhlasit. Možná by stačila profylaxe i 1x za rok.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354D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3354D7">
    <w16cex:extLst>
      <w16:ext w16:uri="{CE6994B0-6A32-4C9F-8C6B-6E91EDA988CE}">
        <cr:reactions xmlns:cr="http://schemas.microsoft.com/office/comments/2020/reactions">
          <cr:reaction reactionType="1">
            <cr:reactionInfo dateUtc="2025-04-18T21:27:03Z">
              <cr:user userId="Adminio s.r.o." userProvider="None" userName="Adminio s.r.o.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354D7" w16cid:durableId="143354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93EF" w14:textId="77777777" w:rsidR="008D1E43" w:rsidRDefault="008D1E43" w:rsidP="003369D6">
      <w:r>
        <w:separator/>
      </w:r>
    </w:p>
  </w:endnote>
  <w:endnote w:type="continuationSeparator" w:id="0">
    <w:p w14:paraId="357BF2BE" w14:textId="77777777" w:rsidR="008D1E43" w:rsidRDefault="008D1E43" w:rsidP="003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0B63" w14:textId="1167CA4E" w:rsidR="008D1E43" w:rsidRPr="0005100E" w:rsidRDefault="008D1E43" w:rsidP="00FD5488">
    <w:pPr>
      <w:pStyle w:val="Zpat"/>
      <w:jc w:val="right"/>
      <w:rPr>
        <w:sz w:val="14"/>
        <w:szCs w:val="14"/>
      </w:rPr>
    </w:pPr>
    <w:r w:rsidRPr="0005100E">
      <w:rPr>
        <w:sz w:val="14"/>
        <w:szCs w:val="14"/>
      </w:rPr>
      <w:t>Příloha č. 6 – Technická specifikace</w:t>
    </w:r>
    <w:r w:rsidRPr="0005100E">
      <w:rPr>
        <w:sz w:val="14"/>
        <w:szCs w:val="14"/>
      </w:rPr>
      <w:tab/>
    </w:r>
    <w:r w:rsidRPr="0005100E">
      <w:rPr>
        <w:sz w:val="14"/>
        <w:szCs w:val="14"/>
      </w:rPr>
      <w:tab/>
      <w:t xml:space="preserve">- </w:t>
    </w:r>
    <w:r w:rsidRPr="0005100E">
      <w:rPr>
        <w:sz w:val="14"/>
        <w:szCs w:val="14"/>
      </w:rPr>
      <w:fldChar w:fldCharType="begin"/>
    </w:r>
    <w:r w:rsidRPr="0005100E">
      <w:rPr>
        <w:sz w:val="14"/>
        <w:szCs w:val="14"/>
      </w:rPr>
      <w:instrText xml:space="preserve"> PAGE   \* MERGEFORMAT </w:instrText>
    </w:r>
    <w:r w:rsidRPr="0005100E">
      <w:rPr>
        <w:sz w:val="14"/>
        <w:szCs w:val="14"/>
      </w:rPr>
      <w:fldChar w:fldCharType="separate"/>
    </w:r>
    <w:r w:rsidR="00540441">
      <w:rPr>
        <w:noProof/>
        <w:sz w:val="14"/>
        <w:szCs w:val="14"/>
      </w:rPr>
      <w:t>5</w:t>
    </w:r>
    <w:r w:rsidRPr="0005100E">
      <w:rPr>
        <w:sz w:val="14"/>
        <w:szCs w:val="14"/>
      </w:rPr>
      <w:fldChar w:fldCharType="end"/>
    </w:r>
    <w:r w:rsidRPr="0005100E">
      <w:rPr>
        <w:sz w:val="14"/>
        <w:szCs w:val="14"/>
      </w:rPr>
      <w:t xml:space="preserve"> / </w:t>
    </w:r>
    <w:r w:rsidRPr="0005100E">
      <w:rPr>
        <w:sz w:val="14"/>
        <w:szCs w:val="14"/>
      </w:rPr>
      <w:fldChar w:fldCharType="begin"/>
    </w:r>
    <w:r w:rsidRPr="0005100E">
      <w:rPr>
        <w:sz w:val="14"/>
        <w:szCs w:val="14"/>
      </w:rPr>
      <w:instrText xml:space="preserve"> NUMPAGES   \* MERGEFORMAT </w:instrText>
    </w:r>
    <w:r w:rsidRPr="0005100E">
      <w:rPr>
        <w:sz w:val="14"/>
        <w:szCs w:val="14"/>
      </w:rPr>
      <w:fldChar w:fldCharType="separate"/>
    </w:r>
    <w:r w:rsidR="00540441">
      <w:rPr>
        <w:noProof/>
        <w:sz w:val="14"/>
        <w:szCs w:val="14"/>
      </w:rPr>
      <w:t>15</w:t>
    </w:r>
    <w:r w:rsidRPr="0005100E">
      <w:rPr>
        <w:sz w:val="14"/>
        <w:szCs w:val="14"/>
      </w:rPr>
      <w:fldChar w:fldCharType="end"/>
    </w:r>
    <w:r w:rsidRPr="0005100E">
      <w:rPr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384D" w14:textId="77777777" w:rsidR="008D1E43" w:rsidRDefault="008D1E43" w:rsidP="003369D6">
      <w:r>
        <w:separator/>
      </w:r>
    </w:p>
  </w:footnote>
  <w:footnote w:type="continuationSeparator" w:id="0">
    <w:p w14:paraId="41BD2100" w14:textId="77777777" w:rsidR="008D1E43" w:rsidRDefault="008D1E43" w:rsidP="0033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A746" w14:textId="0E255273" w:rsidR="008D1E43" w:rsidRDefault="008D1E43" w:rsidP="003369D6">
    <w:r>
      <w:rPr>
        <w:noProof/>
        <w:lang w:eastAsia="cs-CZ"/>
      </w:rPr>
      <w:drawing>
        <wp:inline distT="0" distB="0" distL="0" distR="0" wp14:anchorId="48D8C744" wp14:editId="3F614C1A">
          <wp:extent cx="5580380" cy="603250"/>
          <wp:effectExtent l="0" t="0" r="1270" b="6350"/>
          <wp:docPr id="1542633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CEF9" w14:textId="77777777" w:rsidR="008D1E43" w:rsidRDefault="008D1E43" w:rsidP="003369D6">
    <w:r>
      <w:rPr>
        <w:noProof/>
        <w:lang w:eastAsia="cs-CZ"/>
      </w:rPr>
      <w:drawing>
        <wp:inline distT="0" distB="0" distL="0" distR="0" wp14:anchorId="55F16FF1" wp14:editId="2A6044C6">
          <wp:extent cx="5270500" cy="870585"/>
          <wp:effectExtent l="0" t="0" r="0" b="0"/>
          <wp:docPr id="836285659" name="Obrázek 836285659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</w:lvl>
  </w:abstractNum>
  <w:abstractNum w:abstractNumId="1" w15:restartNumberingAfterBreak="0">
    <w:nsid w:val="00000004"/>
    <w:multiLevelType w:val="singleLevel"/>
    <w:tmpl w:val="E54AFDAE"/>
    <w:name w:val="WW8Num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theme="minorBidi"/>
        <w:b w:val="0"/>
        <w:i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</w:lvl>
  </w:abstractNum>
  <w:abstractNum w:abstractNumId="4" w15:restartNumberingAfterBreak="0">
    <w:nsid w:val="0AA761A9"/>
    <w:multiLevelType w:val="hybridMultilevel"/>
    <w:tmpl w:val="95902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2149E"/>
    <w:multiLevelType w:val="hybridMultilevel"/>
    <w:tmpl w:val="3A647FCC"/>
    <w:lvl w:ilvl="0" w:tplc="740C56CA">
      <w:start w:val="1"/>
      <w:numFmt w:val="bullet"/>
      <w:pStyle w:val="2-2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62A6"/>
    <w:multiLevelType w:val="hybridMultilevel"/>
    <w:tmpl w:val="24B80014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723271"/>
    <w:multiLevelType w:val="hybridMultilevel"/>
    <w:tmpl w:val="AB6AA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3685"/>
    <w:multiLevelType w:val="multilevel"/>
    <w:tmpl w:val="08DC4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20C6479"/>
    <w:multiLevelType w:val="hybridMultilevel"/>
    <w:tmpl w:val="8140D56C"/>
    <w:lvl w:ilvl="0" w:tplc="AC48EBB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D30D16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7CC031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F0CF8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5C59D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29E89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EFA9C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D82ADB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CB26D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95250B"/>
    <w:multiLevelType w:val="hybridMultilevel"/>
    <w:tmpl w:val="A232EB3E"/>
    <w:lvl w:ilvl="0" w:tplc="42566594">
      <w:start w:val="1"/>
      <w:numFmt w:val="bullet"/>
      <w:pStyle w:val="Odrkaedivkurzva-ern"/>
      <w:lvlText w:val="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4C64"/>
    <w:multiLevelType w:val="hybridMultilevel"/>
    <w:tmpl w:val="B3B01F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839A7"/>
    <w:multiLevelType w:val="hybridMultilevel"/>
    <w:tmpl w:val="D6A2B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561A1"/>
    <w:multiLevelType w:val="hybridMultilevel"/>
    <w:tmpl w:val="66A6609A"/>
    <w:lvl w:ilvl="0" w:tplc="7F8235D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B5624"/>
    <w:multiLevelType w:val="hybridMultilevel"/>
    <w:tmpl w:val="E50A4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2F11"/>
    <w:multiLevelType w:val="hybridMultilevel"/>
    <w:tmpl w:val="B3B01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74E07"/>
    <w:multiLevelType w:val="hybridMultilevel"/>
    <w:tmpl w:val="EEB8C2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009F3"/>
    <w:multiLevelType w:val="multilevel"/>
    <w:tmpl w:val="DBDAE9DC"/>
    <w:lvl w:ilvl="0">
      <w:start w:val="1"/>
      <w:numFmt w:val="bullet"/>
      <w:pStyle w:val="Odrk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C84BBD"/>
    <w:multiLevelType w:val="hybridMultilevel"/>
    <w:tmpl w:val="6068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A186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753"/>
    <w:multiLevelType w:val="hybridMultilevel"/>
    <w:tmpl w:val="66CE7DE4"/>
    <w:lvl w:ilvl="0" w:tplc="4CC6C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F2387"/>
    <w:multiLevelType w:val="hybridMultilevel"/>
    <w:tmpl w:val="5D26F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12C7A"/>
    <w:multiLevelType w:val="hybridMultilevel"/>
    <w:tmpl w:val="12E2C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A401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extodstavce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C4E49D7"/>
    <w:multiLevelType w:val="hybridMultilevel"/>
    <w:tmpl w:val="16FE7B9A"/>
    <w:lvl w:ilvl="0" w:tplc="708AF8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B516A9CC">
      <w:numFmt w:val="bullet"/>
      <w:lvlText w:val="•"/>
      <w:lvlJc w:val="left"/>
      <w:pPr>
        <w:ind w:left="2133" w:hanging="705"/>
      </w:pPr>
      <w:rPr>
        <w:rFonts w:ascii="Calibri" w:eastAsiaTheme="minorHAnsi" w:hAnsi="Calibri" w:cs="Calibri" w:hint="default"/>
      </w:rPr>
    </w:lvl>
    <w:lvl w:ilvl="2" w:tplc="A054402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9EE0F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7478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AA8AF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1561B4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122E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5ABA0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124EFD"/>
    <w:multiLevelType w:val="hybridMultilevel"/>
    <w:tmpl w:val="EEB8C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77D90"/>
    <w:multiLevelType w:val="hybridMultilevel"/>
    <w:tmpl w:val="97087330"/>
    <w:lvl w:ilvl="0" w:tplc="EE605C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8280D3C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D285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C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AC326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52F2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25611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8CBA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8C2B6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301AE3"/>
    <w:multiLevelType w:val="multilevel"/>
    <w:tmpl w:val="1A60211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7" w15:restartNumberingAfterBreak="0">
    <w:nsid w:val="7D212AFA"/>
    <w:multiLevelType w:val="hybridMultilevel"/>
    <w:tmpl w:val="998C3284"/>
    <w:lvl w:ilvl="0" w:tplc="2F9E1B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2882A7E">
      <w:numFmt w:val="bullet"/>
      <w:lvlText w:val=""/>
      <w:lvlJc w:val="left"/>
      <w:pPr>
        <w:ind w:left="2133" w:hanging="705"/>
      </w:pPr>
      <w:rPr>
        <w:rFonts w:ascii="Symbol" w:eastAsiaTheme="minorHAnsi" w:hAnsi="Symbol" w:cstheme="minorHAnsi" w:hint="default"/>
      </w:rPr>
    </w:lvl>
    <w:lvl w:ilvl="2" w:tplc="A886C2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320B3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4EF41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B83A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D20D3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68F9D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16857E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ED04259"/>
    <w:multiLevelType w:val="multilevel"/>
    <w:tmpl w:val="D56878B6"/>
    <w:lvl w:ilvl="0">
      <w:start w:val="1"/>
      <w:numFmt w:val="decimal"/>
      <w:pStyle w:val="NadpisA"/>
      <w:lvlText w:val="%1."/>
      <w:lvlJc w:val="left"/>
      <w:pPr>
        <w:ind w:left="360" w:hanging="360"/>
      </w:pPr>
    </w:lvl>
    <w:lvl w:ilvl="1">
      <w:start w:val="1"/>
      <w:numFmt w:val="decimal"/>
      <w:pStyle w:val="Nadpi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42307">
    <w:abstractNumId w:val="26"/>
  </w:num>
  <w:num w:numId="2" w16cid:durableId="392511058">
    <w:abstractNumId w:val="17"/>
  </w:num>
  <w:num w:numId="3" w16cid:durableId="595990406">
    <w:abstractNumId w:val="5"/>
  </w:num>
  <w:num w:numId="4" w16cid:durableId="1507670074">
    <w:abstractNumId w:val="6"/>
  </w:num>
  <w:num w:numId="5" w16cid:durableId="1792434229">
    <w:abstractNumId w:val="28"/>
  </w:num>
  <w:num w:numId="6" w16cid:durableId="824668882">
    <w:abstractNumId w:val="10"/>
  </w:num>
  <w:num w:numId="7" w16cid:durableId="2091154957">
    <w:abstractNumId w:val="13"/>
  </w:num>
  <w:num w:numId="8" w16cid:durableId="471480618">
    <w:abstractNumId w:val="15"/>
  </w:num>
  <w:num w:numId="9" w16cid:durableId="1520505598">
    <w:abstractNumId w:val="11"/>
  </w:num>
  <w:num w:numId="10" w16cid:durableId="2133398338">
    <w:abstractNumId w:val="24"/>
  </w:num>
  <w:num w:numId="11" w16cid:durableId="1340045026">
    <w:abstractNumId w:val="16"/>
  </w:num>
  <w:num w:numId="12" w16cid:durableId="1330325611">
    <w:abstractNumId w:val="12"/>
  </w:num>
  <w:num w:numId="13" w16cid:durableId="1375035416">
    <w:abstractNumId w:val="21"/>
  </w:num>
  <w:num w:numId="14" w16cid:durableId="1037972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734541">
    <w:abstractNumId w:val="27"/>
  </w:num>
  <w:num w:numId="16" w16cid:durableId="1379746555">
    <w:abstractNumId w:val="25"/>
  </w:num>
  <w:num w:numId="17" w16cid:durableId="812985751">
    <w:abstractNumId w:val="9"/>
  </w:num>
  <w:num w:numId="18" w16cid:durableId="31346534">
    <w:abstractNumId w:val="23"/>
  </w:num>
  <w:num w:numId="19" w16cid:durableId="19404815">
    <w:abstractNumId w:val="19"/>
  </w:num>
  <w:num w:numId="20" w16cid:durableId="976683588">
    <w:abstractNumId w:val="20"/>
  </w:num>
  <w:num w:numId="21" w16cid:durableId="1014381349">
    <w:abstractNumId w:val="22"/>
  </w:num>
  <w:num w:numId="22" w16cid:durableId="626395955">
    <w:abstractNumId w:val="18"/>
  </w:num>
  <w:num w:numId="23" w16cid:durableId="2145195787">
    <w:abstractNumId w:val="4"/>
  </w:num>
  <w:num w:numId="24" w16cid:durableId="1305503484">
    <w:abstractNumId w:val="13"/>
  </w:num>
  <w:num w:numId="25" w16cid:durableId="441847138">
    <w:abstractNumId w:val="0"/>
    <w:lvlOverride w:ilvl="0">
      <w:startOverride w:val="1"/>
    </w:lvlOverride>
  </w:num>
  <w:num w:numId="26" w16cid:durableId="122700765">
    <w:abstractNumId w:val="1"/>
    <w:lvlOverride w:ilvl="0">
      <w:startOverride w:val="1"/>
    </w:lvlOverride>
  </w:num>
  <w:num w:numId="27" w16cid:durableId="1267425964">
    <w:abstractNumId w:val="7"/>
  </w:num>
  <w:num w:numId="28" w16cid:durableId="2087920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8947434">
    <w:abstractNumId w:val="3"/>
    <w:lvlOverride w:ilvl="0">
      <w:startOverride w:val="1"/>
    </w:lvlOverride>
  </w:num>
  <w:num w:numId="30" w16cid:durableId="1618945303">
    <w:abstractNumId w:val="1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čvara Petr, Bc.">
    <w15:presenceInfo w15:providerId="None" w15:userId="Kočvara Petr, B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28"/>
    <w:rsid w:val="00012D47"/>
    <w:rsid w:val="000405C3"/>
    <w:rsid w:val="000438FE"/>
    <w:rsid w:val="0005100E"/>
    <w:rsid w:val="00064DAF"/>
    <w:rsid w:val="00095A30"/>
    <w:rsid w:val="000972E2"/>
    <w:rsid w:val="000B4489"/>
    <w:rsid w:val="000C7C84"/>
    <w:rsid w:val="001131B7"/>
    <w:rsid w:val="00136028"/>
    <w:rsid w:val="00145ABB"/>
    <w:rsid w:val="00174834"/>
    <w:rsid w:val="001F61CC"/>
    <w:rsid w:val="00244FC6"/>
    <w:rsid w:val="00245EA2"/>
    <w:rsid w:val="0025188D"/>
    <w:rsid w:val="00264533"/>
    <w:rsid w:val="002D5C82"/>
    <w:rsid w:val="00322C96"/>
    <w:rsid w:val="00330485"/>
    <w:rsid w:val="003369D6"/>
    <w:rsid w:val="0034018C"/>
    <w:rsid w:val="00360633"/>
    <w:rsid w:val="003968C2"/>
    <w:rsid w:val="003B3BE0"/>
    <w:rsid w:val="003F50D5"/>
    <w:rsid w:val="004060C8"/>
    <w:rsid w:val="00422E16"/>
    <w:rsid w:val="00485A2A"/>
    <w:rsid w:val="004C123A"/>
    <w:rsid w:val="005011CD"/>
    <w:rsid w:val="005231F7"/>
    <w:rsid w:val="00540441"/>
    <w:rsid w:val="00541856"/>
    <w:rsid w:val="0055679E"/>
    <w:rsid w:val="00592E3B"/>
    <w:rsid w:val="005D163D"/>
    <w:rsid w:val="005F0711"/>
    <w:rsid w:val="006028BB"/>
    <w:rsid w:val="006124BC"/>
    <w:rsid w:val="006124FD"/>
    <w:rsid w:val="00640528"/>
    <w:rsid w:val="00652309"/>
    <w:rsid w:val="00657FD7"/>
    <w:rsid w:val="006650BA"/>
    <w:rsid w:val="006654AA"/>
    <w:rsid w:val="006927C4"/>
    <w:rsid w:val="006B3369"/>
    <w:rsid w:val="006C4135"/>
    <w:rsid w:val="006F619F"/>
    <w:rsid w:val="007202B7"/>
    <w:rsid w:val="00733590"/>
    <w:rsid w:val="00755112"/>
    <w:rsid w:val="007D1F32"/>
    <w:rsid w:val="00803D76"/>
    <w:rsid w:val="00870866"/>
    <w:rsid w:val="00885E5F"/>
    <w:rsid w:val="008D1E43"/>
    <w:rsid w:val="008D610C"/>
    <w:rsid w:val="00915703"/>
    <w:rsid w:val="0092095D"/>
    <w:rsid w:val="00936224"/>
    <w:rsid w:val="009C352E"/>
    <w:rsid w:val="009C5BB7"/>
    <w:rsid w:val="009D2A20"/>
    <w:rsid w:val="00A30B70"/>
    <w:rsid w:val="00A3686A"/>
    <w:rsid w:val="00A72FCE"/>
    <w:rsid w:val="00A85A77"/>
    <w:rsid w:val="00AA4A89"/>
    <w:rsid w:val="00AD1C7A"/>
    <w:rsid w:val="00AD5891"/>
    <w:rsid w:val="00AD6D19"/>
    <w:rsid w:val="00AE0DF5"/>
    <w:rsid w:val="00AF53BD"/>
    <w:rsid w:val="00B14F90"/>
    <w:rsid w:val="00B359DC"/>
    <w:rsid w:val="00BC63A3"/>
    <w:rsid w:val="00BD128E"/>
    <w:rsid w:val="00BE7411"/>
    <w:rsid w:val="00BF2ADB"/>
    <w:rsid w:val="00C146D7"/>
    <w:rsid w:val="00C2425A"/>
    <w:rsid w:val="00C36A3C"/>
    <w:rsid w:val="00C74177"/>
    <w:rsid w:val="00C9066C"/>
    <w:rsid w:val="00CA5030"/>
    <w:rsid w:val="00CB4885"/>
    <w:rsid w:val="00CB534A"/>
    <w:rsid w:val="00CD516C"/>
    <w:rsid w:val="00CF52D2"/>
    <w:rsid w:val="00D1362F"/>
    <w:rsid w:val="00D17A1A"/>
    <w:rsid w:val="00D17A53"/>
    <w:rsid w:val="00DB7C60"/>
    <w:rsid w:val="00DD523B"/>
    <w:rsid w:val="00DE3CF9"/>
    <w:rsid w:val="00E108C1"/>
    <w:rsid w:val="00E17C19"/>
    <w:rsid w:val="00E24C5C"/>
    <w:rsid w:val="00E47A58"/>
    <w:rsid w:val="00E5478A"/>
    <w:rsid w:val="00E7549E"/>
    <w:rsid w:val="00E85FB9"/>
    <w:rsid w:val="00E954CB"/>
    <w:rsid w:val="00ED3766"/>
    <w:rsid w:val="00F1251E"/>
    <w:rsid w:val="00F31A7E"/>
    <w:rsid w:val="00F7090C"/>
    <w:rsid w:val="00F835C2"/>
    <w:rsid w:val="00F85A38"/>
    <w:rsid w:val="00FA0407"/>
    <w:rsid w:val="00FB2B7E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55C397"/>
  <w15:docId w15:val="{1E3B8F31-3542-4E7B-8601-484B94A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9D6"/>
    <w:pPr>
      <w:spacing w:before="120" w:after="120"/>
      <w:jc w:val="both"/>
    </w:pPr>
    <w:rPr>
      <w:rFonts w:ascii="Arial" w:eastAsia="Calibri" w:hAnsi="Arial"/>
      <w:kern w:val="0"/>
      <w:sz w:val="20"/>
      <w:szCs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7E0921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A30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0866"/>
    <w:pPr>
      <w:keepNext/>
      <w:keepLines/>
      <w:numPr>
        <w:ilvl w:val="2"/>
        <w:numId w:val="1"/>
      </w:numPr>
      <w:ind w:left="567" w:hanging="567"/>
      <w:outlineLvl w:val="2"/>
    </w:pPr>
    <w:rPr>
      <w:rFonts w:eastAsia="Times New Roman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921"/>
    <w:pPr>
      <w:keepNext/>
      <w:keepLines/>
      <w:numPr>
        <w:ilvl w:val="3"/>
        <w:numId w:val="1"/>
      </w:numPr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921"/>
    <w:pPr>
      <w:keepNext/>
      <w:keepLines/>
      <w:numPr>
        <w:ilvl w:val="4"/>
        <w:numId w:val="1"/>
      </w:numPr>
      <w:spacing w:before="4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921"/>
    <w:pPr>
      <w:keepNext/>
      <w:keepLines/>
      <w:numPr>
        <w:ilvl w:val="5"/>
        <w:numId w:val="1"/>
      </w:numPr>
      <w:spacing w:before="40" w:line="36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921"/>
    <w:pPr>
      <w:keepNext/>
      <w:keepLines/>
      <w:numPr>
        <w:ilvl w:val="6"/>
        <w:numId w:val="1"/>
      </w:numP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921"/>
    <w:pPr>
      <w:keepNext/>
      <w:keepLines/>
      <w:numPr>
        <w:ilvl w:val="7"/>
        <w:numId w:val="1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921"/>
    <w:pPr>
      <w:keepNext/>
      <w:keepLines/>
      <w:numPr>
        <w:ilvl w:val="8"/>
        <w:numId w:val="1"/>
      </w:numPr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E0921"/>
  </w:style>
  <w:style w:type="character" w:customStyle="1" w:styleId="ZpatChar">
    <w:name w:val="Zápatí Char"/>
    <w:basedOn w:val="Standardnpsmoodstavce"/>
    <w:link w:val="Zpat"/>
    <w:uiPriority w:val="99"/>
    <w:qFormat/>
    <w:rsid w:val="007E0921"/>
  </w:style>
  <w:style w:type="character" w:customStyle="1" w:styleId="Nadpis1Char">
    <w:name w:val="Nadpis 1 Char"/>
    <w:basedOn w:val="Standardnpsmoodstavce"/>
    <w:link w:val="Nadpis1"/>
    <w:uiPriority w:val="9"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95A30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70866"/>
    <w:rPr>
      <w:rFonts w:ascii="Arial" w:eastAsia="Times New Roman" w:hAnsi="Arial" w:cs="Arial"/>
      <w:b/>
      <w:bCs/>
      <w:kern w:val="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E0921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E092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E0921"/>
    <w:rPr>
      <w:color w:val="0563C1" w:themeColor="hyperlink"/>
      <w:u w:val="single"/>
    </w:rPr>
  </w:style>
  <w:style w:type="character" w:customStyle="1" w:styleId="Odkaznarejstk">
    <w:name w:val="Odkaz na rejstřík"/>
    <w:qFormat/>
  </w:style>
  <w:style w:type="paragraph" w:customStyle="1" w:styleId="Hlavnnadpis">
    <w:name w:val="Hlavní nadpis"/>
    <w:basedOn w:val="NadpisA"/>
    <w:next w:val="Zkladntext"/>
    <w:qFormat/>
    <w:rsid w:val="00CF52D2"/>
    <w:pPr>
      <w:numPr>
        <w:numId w:val="0"/>
      </w:numPr>
      <w:ind w:left="360" w:hanging="360"/>
    </w:pPr>
    <w:rPr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Hlavikarejstku">
    <w:name w:val="index heading"/>
    <w:basedOn w:val="Hlavnnadpis"/>
  </w:style>
  <w:style w:type="paragraph" w:styleId="Nadpisobsahu">
    <w:name w:val="TOC Heading"/>
    <w:basedOn w:val="Nadpis1"/>
    <w:next w:val="Normln"/>
    <w:uiPriority w:val="39"/>
    <w:unhideWhenUsed/>
    <w:qFormat/>
    <w:rsid w:val="007E0921"/>
    <w:pPr>
      <w:numPr>
        <w:numId w:val="0"/>
      </w:numPr>
      <w:spacing w:before="480" w:line="276" w:lineRule="auto"/>
      <w:jc w:val="left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02B7"/>
    <w:pPr>
      <w:tabs>
        <w:tab w:val="left" w:pos="691"/>
        <w:tab w:val="right" w:leader="dot" w:pos="9062"/>
      </w:tabs>
      <w:spacing w:before="240" w:line="360" w:lineRule="auto"/>
      <w:ind w:firstLine="284"/>
    </w:pPr>
    <w:rPr>
      <w:rFonts w:cstheme="minorHAnsi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7E0921"/>
    <w:pPr>
      <w:spacing w:line="360" w:lineRule="auto"/>
      <w:ind w:left="240" w:firstLine="284"/>
    </w:pPr>
    <w:rPr>
      <w:rFonts w:cs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7E0921"/>
    <w:pPr>
      <w:spacing w:line="360" w:lineRule="auto"/>
      <w:ind w:left="480" w:firstLine="284"/>
    </w:pPr>
    <w:rPr>
      <w:rFonts w:cstheme="minorHAnsi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3369D6"/>
    <w:pPr>
      <w:numPr>
        <w:numId w:val="7"/>
      </w:numPr>
    </w:pPr>
  </w:style>
  <w:style w:type="paragraph" w:customStyle="1" w:styleId="Odrka">
    <w:name w:val="Odrážka"/>
    <w:basedOn w:val="Normln"/>
    <w:qFormat/>
    <w:rsid w:val="00D24E17"/>
    <w:pPr>
      <w:numPr>
        <w:numId w:val="2"/>
      </w:numPr>
    </w:pPr>
  </w:style>
  <w:style w:type="paragraph" w:styleId="Bezmezer">
    <w:name w:val="No Spacing"/>
    <w:basedOn w:val="Nadpis1"/>
    <w:uiPriority w:val="1"/>
    <w:qFormat/>
    <w:rsid w:val="00BB04A3"/>
    <w:pPr>
      <w:numPr>
        <w:numId w:val="0"/>
      </w:numPr>
      <w:jc w:val="center"/>
    </w:pPr>
    <w:rPr>
      <w:b/>
      <w:bCs/>
    </w:rPr>
  </w:style>
  <w:style w:type="paragraph" w:styleId="Obsah4">
    <w:name w:val="toc 4"/>
    <w:basedOn w:val="Rejstk"/>
  </w:style>
  <w:style w:type="paragraph" w:styleId="Obsah5">
    <w:name w:val="toc 5"/>
    <w:basedOn w:val="Rejstk"/>
  </w:style>
  <w:style w:type="paragraph" w:styleId="Obsah6">
    <w:name w:val="toc 6"/>
    <w:basedOn w:val="Rejstk"/>
  </w:style>
  <w:style w:type="paragraph" w:styleId="Obsah7">
    <w:name w:val="toc 7"/>
    <w:basedOn w:val="Rejstk"/>
  </w:style>
  <w:style w:type="paragraph" w:styleId="Obsah8">
    <w:name w:val="toc 8"/>
    <w:basedOn w:val="Rejstk"/>
  </w:style>
  <w:style w:type="paragraph" w:styleId="Obsah9">
    <w:name w:val="toc 9"/>
    <w:basedOn w:val="Rejstk"/>
  </w:style>
  <w:style w:type="table" w:styleId="Svtltabulkasmkou1zvraznn1">
    <w:name w:val="Grid Table 1 Light Accent 1"/>
    <w:basedOn w:val="Normlntabulka"/>
    <w:uiPriority w:val="46"/>
    <w:rsid w:val="00100D82"/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rsid w:val="0010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35C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paragraph" w:styleId="Textkomente">
    <w:name w:val="annotation text"/>
    <w:basedOn w:val="Normln"/>
    <w:link w:val="TextkomenteChar1"/>
    <w:unhideWhenUsed/>
    <w:rsid w:val="00F835C2"/>
    <w:pPr>
      <w:suppressAutoHyphens w:val="0"/>
      <w:spacing w:after="160"/>
      <w:jc w:val="left"/>
    </w:pPr>
    <w:rPr>
      <w:rFonts w:asciiTheme="minorHAnsi" w:eastAsiaTheme="minorHAnsi" w:hAnsiTheme="minorHAnsi"/>
    </w:rPr>
  </w:style>
  <w:style w:type="character" w:customStyle="1" w:styleId="TextkomenteChar">
    <w:name w:val="Text komentáře Char"/>
    <w:basedOn w:val="Standardnpsmoodstavce"/>
    <w:uiPriority w:val="99"/>
    <w:semiHidden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TextkomenteChar1">
    <w:name w:val="Text komentáře Char1"/>
    <w:basedOn w:val="Standardnpsmoodstavce"/>
    <w:link w:val="Textkomente"/>
    <w:rsid w:val="00F835C2"/>
    <w:rPr>
      <w:kern w:val="0"/>
      <w:sz w:val="20"/>
      <w:szCs w:val="20"/>
      <w14:ligatures w14:val="none"/>
    </w:rPr>
  </w:style>
  <w:style w:type="paragraph" w:styleId="Textvysvtlivek">
    <w:name w:val="endnote text"/>
    <w:basedOn w:val="Normln"/>
    <w:link w:val="TextvysvtlivekChar"/>
    <w:semiHidden/>
    <w:rsid w:val="00F835C2"/>
    <w:pPr>
      <w:suppressAutoHyphens w:val="0"/>
      <w:spacing w:after="60"/>
    </w:pPr>
    <w:rPr>
      <w:rFonts w:eastAsia="Times New Roman" w:cs="Times New Roman"/>
      <w:sz w:val="22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5C2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2-2">
    <w:name w:val="2-2*"/>
    <w:basedOn w:val="Normln"/>
    <w:rsid w:val="00F835C2"/>
    <w:pPr>
      <w:numPr>
        <w:numId w:val="3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2-2a">
    <w:name w:val="2-2)a"/>
    <w:basedOn w:val="Normln"/>
    <w:rsid w:val="00F835C2"/>
    <w:pPr>
      <w:numPr>
        <w:numId w:val="4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NadpisA">
    <w:name w:val="Nadpis A"/>
    <w:basedOn w:val="Nadpis1"/>
    <w:link w:val="NadpisAChar"/>
    <w:qFormat/>
    <w:rsid w:val="003369D6"/>
    <w:pPr>
      <w:numPr>
        <w:numId w:val="5"/>
      </w:numPr>
      <w:spacing w:line="24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dpisAChar">
    <w:name w:val="Nadpis A Char"/>
    <w:basedOn w:val="Nadpis1Char"/>
    <w:link w:val="NadpisA"/>
    <w:rsid w:val="003369D6"/>
    <w:rPr>
      <w:rFonts w:ascii="Arial" w:eastAsiaTheme="majorEastAsia" w:hAnsi="Arial" w:cs="Arial"/>
      <w:b/>
      <w:bCs/>
      <w:color w:val="2E74B5" w:themeColor="accent1" w:themeShade="BF"/>
      <w:kern w:val="0"/>
      <w:sz w:val="24"/>
      <w:szCs w:val="24"/>
    </w:rPr>
  </w:style>
  <w:style w:type="paragraph" w:customStyle="1" w:styleId="Nadpis">
    <w:name w:val="Nadpis"/>
    <w:basedOn w:val="NadpisA"/>
    <w:link w:val="NadpisChar"/>
    <w:qFormat/>
    <w:rsid w:val="00870866"/>
    <w:pPr>
      <w:numPr>
        <w:ilvl w:val="1"/>
      </w:numPr>
      <w:ind w:left="567" w:hanging="567"/>
    </w:pPr>
    <w:rPr>
      <w:sz w:val="22"/>
      <w:szCs w:val="22"/>
    </w:rPr>
  </w:style>
  <w:style w:type="character" w:customStyle="1" w:styleId="NadpisChar">
    <w:name w:val="Nadpis Char"/>
    <w:basedOn w:val="Nadpis1Char"/>
    <w:link w:val="Nadpis"/>
    <w:rsid w:val="00870866"/>
    <w:rPr>
      <w:rFonts w:ascii="Arial" w:eastAsiaTheme="majorEastAsia" w:hAnsi="Arial" w:cs="Arial"/>
      <w:b/>
      <w:bCs/>
      <w:color w:val="2E74B5" w:themeColor="accent1" w:themeShade="BF"/>
      <w:kern w:val="0"/>
      <w:sz w:val="32"/>
      <w:szCs w:val="32"/>
    </w:rPr>
  </w:style>
  <w:style w:type="paragraph" w:customStyle="1" w:styleId="Odrkaedivkurzva-ern">
    <w:name w:val="Odrážka šedivá kurzíva - černá"/>
    <w:basedOn w:val="Odstavecseseznamem"/>
    <w:qFormat/>
    <w:rsid w:val="00245EA2"/>
    <w:pPr>
      <w:numPr>
        <w:numId w:val="6"/>
      </w:numPr>
      <w:tabs>
        <w:tab w:val="num" w:pos="360"/>
      </w:tabs>
      <w:suppressAutoHyphens w:val="0"/>
      <w:spacing w:before="60" w:after="60"/>
      <w:ind w:left="453" w:hanging="340"/>
    </w:pPr>
    <w:rPr>
      <w:rFonts w:eastAsiaTheme="minorHAnsi" w:cs="Times New Roman"/>
      <w:i/>
      <w:color w:val="7F7F7F" w:themeColor="text1" w:themeTint="8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7202B7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99"/>
    <w:qFormat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CF52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2D2"/>
    <w:pPr>
      <w:suppressAutoHyphens/>
      <w:spacing w:after="120"/>
      <w:jc w:val="both"/>
    </w:pPr>
    <w:rPr>
      <w:rFonts w:ascii="Arial" w:eastAsia="Calibri" w:hAnsi="Arial"/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CF52D2"/>
    <w:rPr>
      <w:rFonts w:ascii="Arial" w:eastAsia="Calibri" w:hAnsi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330485"/>
    <w:pPr>
      <w:suppressAutoHyphens w:val="0"/>
    </w:pPr>
    <w:rPr>
      <w:rFonts w:ascii="Arial" w:eastAsia="Calibri" w:hAnsi="Arial"/>
      <w:kern w:val="0"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5188D"/>
    <w:rPr>
      <w:rFonts w:ascii="Arial" w:eastAsia="Calibri" w:hAnsi="Arial"/>
      <w:kern w:val="0"/>
      <w:sz w:val="20"/>
      <w:szCs w:val="20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25188D"/>
    <w:pPr>
      <w:suppressAutoHyphens w:val="0"/>
      <w:spacing w:before="0"/>
    </w:pPr>
    <w:rPr>
      <w:rFonts w:eastAsia="MS ??" w:cs="Times New Roman"/>
      <w:szCs w:val="24"/>
      <w:lang w:eastAsia="cs-CZ"/>
      <w14:ligatures w14:val="none"/>
    </w:rPr>
  </w:style>
  <w:style w:type="character" w:customStyle="1" w:styleId="Normln-OdstavecCharChar">
    <w:name w:val="Normální - Odstavec Char Char"/>
    <w:link w:val="Normln-Odstavec"/>
    <w:uiPriority w:val="99"/>
    <w:locked/>
    <w:rsid w:val="0025188D"/>
    <w:rPr>
      <w:rFonts w:ascii="Arial" w:eastAsia="MS ??" w:hAnsi="Arial" w:cs="Times New Roman"/>
      <w:kern w:val="0"/>
      <w:sz w:val="20"/>
      <w:szCs w:val="24"/>
      <w:lang w:eastAsia="cs-CZ"/>
      <w14:ligatures w14:val="none"/>
    </w:rPr>
  </w:style>
  <w:style w:type="paragraph" w:customStyle="1" w:styleId="Textodstavce">
    <w:name w:val="Text odstavce"/>
    <w:basedOn w:val="Normln"/>
    <w:rsid w:val="000972E2"/>
    <w:pPr>
      <w:numPr>
        <w:ilvl w:val="6"/>
        <w:numId w:val="21"/>
      </w:numPr>
      <w:tabs>
        <w:tab w:val="left" w:pos="851"/>
      </w:tabs>
      <w:outlineLvl w:val="6"/>
    </w:pPr>
    <w:rPr>
      <w:rFonts w:eastAsia="Times New Roman" w:cs="Times New Roman"/>
      <w:lang w:eastAsia="ar-SA"/>
      <w14:ligatures w14:val="none"/>
    </w:rPr>
  </w:style>
  <w:style w:type="paragraph" w:customStyle="1" w:styleId="Heading21">
    <w:name w:val="Heading 2.1"/>
    <w:basedOn w:val="Nadpis2"/>
    <w:uiPriority w:val="99"/>
    <w:rsid w:val="000972E2"/>
    <w:pPr>
      <w:keepNext w:val="0"/>
      <w:keepLines w:val="0"/>
      <w:numPr>
        <w:numId w:val="21"/>
      </w:numPr>
      <w:tabs>
        <w:tab w:val="left" w:pos="2268"/>
      </w:tabs>
      <w:suppressAutoHyphens w:val="0"/>
      <w:autoSpaceDE w:val="0"/>
      <w:autoSpaceDN w:val="0"/>
      <w:adjustRightInd w:val="0"/>
      <w:spacing w:before="360" w:after="240"/>
    </w:pPr>
    <w:rPr>
      <w:rFonts w:ascii="Arial" w:eastAsia="Times New Roman" w:hAnsi="Arial" w:cs="Arial"/>
      <w:b/>
      <w:i/>
      <w:iCs/>
      <w:color w:val="000000"/>
      <w:sz w:val="23"/>
      <w:lang w:eastAsia="cs-CZ"/>
      <w14:ligatures w14:val="none"/>
    </w:rPr>
  </w:style>
  <w:style w:type="character" w:styleId="Siln">
    <w:name w:val="Strong"/>
    <w:uiPriority w:val="22"/>
    <w:qFormat/>
    <w:rsid w:val="000972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E3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E3B"/>
    <w:rPr>
      <w:rFonts w:ascii="Segoe UI" w:eastAsia="Calibri" w:hAnsi="Segoe UI" w:cs="Segoe UI"/>
      <w:kern w:val="0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3521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dc:description/>
  <cp:lastModifiedBy>Adminio s.r.o.</cp:lastModifiedBy>
  <cp:revision>3</cp:revision>
  <dcterms:created xsi:type="dcterms:W3CDTF">2025-05-02T12:19:00Z</dcterms:created>
  <dcterms:modified xsi:type="dcterms:W3CDTF">2025-05-02T12:20:00Z</dcterms:modified>
  <dc:language>cs-CZ</dc:language>
</cp:coreProperties>
</file>