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Technická specifikace dodávky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2114BA" w:rsidRPr="00231EB2" w:rsidRDefault="002114BA" w:rsidP="00231EB2">
      <w:pPr>
        <w:autoSpaceDE w:val="0"/>
        <w:autoSpaceDN w:val="0"/>
        <w:adjustRightInd w:val="0"/>
        <w:spacing w:after="0"/>
        <w:jc w:val="center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Sestava dvou mrazicích boxů pro skladování a zamrazování plazmy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jc w:val="center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s předchladírnou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jc w:val="center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Parametry: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Teplotní rozsah skladování krevní plazmy dle legislativy -25 °C a méně;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Požadovaný teplotní rozsah pro mrazírenskou technologii zákazníka započtením nejistot měření –30 °C a méně i při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odtávacích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cyklech v celém prostoru boxu určeném pro skladování termolabilního materiálu;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Parametry mrazicího boxu budou doloženy teplotní mapou provedenou akreditovanou laboratoří dle ČSN EN 17025 včetně popisu nastavení regulátorů,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odtávacích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cyklů a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backupu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>.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Doplňující podmínky měření: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Měření bude probíhat současně v obou mrazicích boxech najednou;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Minimální počet měřících sond v každém boxu je 16 ks (celkem 32 ks sond), box včetně regálů;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Sondy budou vloženy do nevytemperovaného boxu;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Bude spuštěn mrazicí agregát a změřena náběhová křivka;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Po vytemperování nezaplněného boxu bude měřena teplotní mapa ustáleného stavu;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Zapnutý mrazicí agregát A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a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B doba měření min 12 hod, poté simulace manipulace s termolabilním materiálem (otevření dveří na 5 min) měření pokračuje do ustáleného stavu;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Test odtávání </w:t>
      </w:r>
      <w:proofErr w:type="gramStart"/>
      <w:r w:rsidRPr="00231EB2">
        <w:rPr>
          <w:rFonts w:ascii="Verdana" w:hAnsi="Verdana" w:cs="Calibri"/>
          <w:color w:val="000000"/>
          <w:sz w:val="18"/>
          <w:szCs w:val="18"/>
        </w:rPr>
        <w:t>výparníků - během</w:t>
      </w:r>
      <w:proofErr w:type="gramEnd"/>
      <w:r w:rsidRPr="00231EB2">
        <w:rPr>
          <w:rFonts w:ascii="Verdana" w:hAnsi="Verdana" w:cs="Calibri"/>
          <w:color w:val="000000"/>
          <w:sz w:val="18"/>
          <w:szCs w:val="18"/>
        </w:rPr>
        <w:t xml:space="preserve"> měření proběhne několik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odtávacích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cyklů; během odtávání nesmí teplota na čidlech měřící sady narůst nad -25 °C;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Měření pokračuje do celkové doby měření 24 hod nebo déle. (Na každém agregátu musí být naměřeny minimálně 2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odtávací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cykly;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Běhen měření v ustáleném stavu nesmí teplota narůst nad -30 °C na žádné sondě;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Crash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test, Vypnutí obou agregátů a měření izolace boxu do teploty 0 °C;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Back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up A: Zapnutý agregát A, agregát B vypnutý, v obou boxech musí být teplota -25 °C a méně, doba měření minimálně 2 hod, musí být patrný ustálený stav;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Back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up B: Zapnutý agregát B, agregát A vypnutý, v obou boxech musí být teplota -25 °C a méně, doba měření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minimlně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2 hod, musí být patrný ustálený stav;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Umístění teplotních čidel monitoringu dle teplotní mapy </w:t>
      </w:r>
      <w:proofErr w:type="spellStart"/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Crash</w:t>
      </w:r>
      <w:proofErr w:type="spellEnd"/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test a </w:t>
      </w:r>
      <w:proofErr w:type="spellStart"/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Back</w:t>
      </w:r>
      <w:proofErr w:type="spellEnd"/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up;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Vyhodnocení a schválení první fáze měření;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Mrazicí boxy budou naskladněny termolabilním materiálem a proběhne 24hod měření teplotní mapy. Během tohoto měření bude probíhat i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zamražování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krevní plazmy.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b/>
          <w:color w:val="000000"/>
          <w:sz w:val="18"/>
          <w:szCs w:val="18"/>
        </w:rPr>
      </w:pPr>
      <w:r w:rsidRPr="00231EB2">
        <w:rPr>
          <w:rFonts w:ascii="Verdana" w:hAnsi="Verdana" w:cs="Calibri"/>
          <w:b/>
          <w:color w:val="000000"/>
          <w:sz w:val="18"/>
          <w:szCs w:val="18"/>
        </w:rPr>
        <w:t>Postup: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Do pravého mrazicího boxu se vloží vozík s 24ks vaků o objemu 850 ml a 7ks vaků o objemu 850 ml s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měřícímy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čidly v jádře vaku.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Za 2 hodiny se vloží další vozík s 24vaky o objemu 850 ml a 3vaky o objemu 850 ml s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měřícímy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čidly v jádře vaku, dále 36 vaků o objemu 350 ml a 4vaky o objemu 850 ml s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měřícímy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čidly v jádře vaku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Za další 2 hodiny se vloží třetí vozík s 24vaky o objemu 850 ml a 7vaky o objemu 850 ml s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měřícímy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čidly v jádře vaku.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Vaky musí dosáhnout teploty -25 °C a méně za maximálně 9 hodin.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Provedeni mrazicího boxu</w:t>
      </w:r>
      <w:bookmarkStart w:id="0" w:name="_GoBack"/>
      <w:bookmarkEnd w:id="0"/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Dle výkresu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Rozměr vnitřní š x d x v: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◦ </w:t>
      </w:r>
      <w:r w:rsidRPr="00231EB2">
        <w:rPr>
          <w:rFonts w:ascii="Verdana" w:hAnsi="Verdana" w:cs="Calibri"/>
          <w:color w:val="000000"/>
          <w:sz w:val="18"/>
          <w:szCs w:val="18"/>
        </w:rPr>
        <w:t>Box A: 1950 x 5200x 2200 mm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◦ </w:t>
      </w:r>
      <w:r w:rsidRPr="00231EB2">
        <w:rPr>
          <w:rFonts w:ascii="Verdana" w:hAnsi="Verdana" w:cs="Calibri"/>
          <w:color w:val="000000"/>
          <w:sz w:val="18"/>
          <w:szCs w:val="18"/>
        </w:rPr>
        <w:t>Box B: 1950 x 3600 x 2200 mm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Pochozí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výška v celém prostoru boxu minimálně 2000 mm, výška pro skladování termolabilního materiálu v celém prostoru boxu minimálně 1800 mm;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Konstrukce boxu PUR panel tloušťka 200 mm a 100 mm, RAL9002, spojení panelů pomocí principu pero-drážka;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Pochozí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vrstva </w:t>
      </w:r>
      <w:proofErr w:type="gramStart"/>
      <w:r w:rsidRPr="00231EB2">
        <w:rPr>
          <w:rFonts w:ascii="Verdana" w:hAnsi="Verdana" w:cs="Calibri"/>
          <w:color w:val="000000"/>
          <w:sz w:val="18"/>
          <w:szCs w:val="18"/>
        </w:rPr>
        <w:t>podlahy - AL</w:t>
      </w:r>
      <w:proofErr w:type="gramEnd"/>
      <w:r w:rsidRPr="00231EB2">
        <w:rPr>
          <w:rFonts w:ascii="Verdana" w:hAnsi="Verdana" w:cs="Calibri"/>
          <w:color w:val="000000"/>
          <w:sz w:val="18"/>
          <w:szCs w:val="18"/>
        </w:rPr>
        <w:t xml:space="preserve"> protiskluzový plech, hygienické rohy;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LED osvětlení boxu;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Veškeré rozvody chlazení a elektro budou provedeny skrytě, není povoleno použití lišt;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 xml:space="preserve">Odvod kondenzátu nesmí zasahovat do skladovacího </w:t>
      </w:r>
      <w:proofErr w:type="spellStart"/>
      <w:r w:rsidRPr="00231EB2">
        <w:rPr>
          <w:rFonts w:ascii="Verdana" w:hAnsi="Verdana" w:cs="Calibri"/>
          <w:color w:val="000000"/>
          <w:sz w:val="18"/>
          <w:szCs w:val="18"/>
        </w:rPr>
        <w:t>postoru</w:t>
      </w:r>
      <w:proofErr w:type="spellEnd"/>
      <w:r w:rsidRPr="00231EB2">
        <w:rPr>
          <w:rFonts w:ascii="Verdana" w:hAnsi="Verdana" w:cs="Calibri"/>
          <w:color w:val="000000"/>
          <w:sz w:val="18"/>
          <w:szCs w:val="18"/>
        </w:rPr>
        <w:t xml:space="preserve"> 1800 mm od podlahy;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Mrazicí agregát: 2° jednotka s výkonem 5 kW / -45 °C s odtáváním horkými parami, v každém mrazicím boxu po jedné jednotce;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lastRenderedPageBreak/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V případě poruchy jednotky boxu ji zastoupí jednotka z druhého boxu a udrží teplotu na požadované hodnotě -25 °C a méně;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Agregáty mrazicích komor jsou umístěny vně budovy na zemních vrutech v akustickém krytu;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Kondenzátory mrazících komor jsou umístěny vně budovy vedle agregátů;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U vstupních dveří do boxu bude umístěn ovládací panel s LCD displejem se zobrazením regulační teploty boxu a teploty monitoringu z nejteplejšího a z nechladnějšího teplotního snímače umístěného v boxu;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Předchladírna +2 °C, Rozměr vnitřní š x d x v: 1600 x 2050 x 2400 mm;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Bloková stropní chladicí jednotka.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Vnitřní vybavení: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Box A: stávající regál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Box B: nerezový konzolový regál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Vozík pro zamrazování vaků s plazmou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Monitoring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2x teplotní snímač v každém boxu (6 ks celkem), monitoring otevření dveří a chodu agregátů (výparník, kondenzátor, kompresor, odtávání), napojené na stávající monitoring HTO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231EB2">
        <w:rPr>
          <w:rFonts w:ascii="Verdana" w:hAnsi="Verdana" w:cs="Calibri-Bold"/>
          <w:b/>
          <w:bCs/>
          <w:color w:val="000000"/>
          <w:sz w:val="18"/>
          <w:szCs w:val="18"/>
        </w:rPr>
        <w:t>Postup prací a rozsah dodávky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Zapůjčení Mrazicího boxu o objemu minimálně 3 m3 po dobu výstavby boxu. Box musí mít platnou validaci pro skladování plazmy a musí být napojen na stávající monitorovací systém HTO;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Demontáž a ekologická likvidace stávající technologie;</w:t>
      </w:r>
    </w:p>
    <w:p w:rsidR="002114BA" w:rsidRPr="00231EB2" w:rsidRDefault="002114BA" w:rsidP="00231EB2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Demontáž podlahového betonu a návazných příček a dveří;</w:t>
      </w:r>
    </w:p>
    <w:p w:rsidR="00AE7B46" w:rsidRPr="00231EB2" w:rsidRDefault="002114BA" w:rsidP="00231EB2">
      <w:pPr>
        <w:rPr>
          <w:rFonts w:ascii="Verdana" w:hAnsi="Verdana"/>
          <w:sz w:val="18"/>
          <w:szCs w:val="18"/>
        </w:rPr>
      </w:pPr>
      <w:r w:rsidRPr="00231EB2">
        <w:rPr>
          <w:rFonts w:ascii="Verdana" w:hAnsi="Verdana" w:cs="OpenSymbol"/>
          <w:color w:val="000000"/>
          <w:sz w:val="18"/>
          <w:szCs w:val="18"/>
        </w:rPr>
        <w:t xml:space="preserve">• </w:t>
      </w:r>
      <w:r w:rsidRPr="00231EB2">
        <w:rPr>
          <w:rFonts w:ascii="Verdana" w:hAnsi="Verdana" w:cs="Calibri"/>
          <w:color w:val="000000"/>
          <w:sz w:val="18"/>
          <w:szCs w:val="18"/>
        </w:rPr>
        <w:t>Montáž nové technologie a Validace zařízení dle popisu.</w:t>
      </w:r>
    </w:p>
    <w:sectPr w:rsidR="00AE7B46" w:rsidRPr="00231EB2" w:rsidSect="002114B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06B" w:rsidRDefault="0096406B" w:rsidP="002114BA">
      <w:pPr>
        <w:spacing w:after="0" w:line="240" w:lineRule="auto"/>
      </w:pPr>
      <w:r>
        <w:separator/>
      </w:r>
    </w:p>
  </w:endnote>
  <w:endnote w:type="continuationSeparator" w:id="0">
    <w:p w:rsidR="0096406B" w:rsidRDefault="0096406B" w:rsidP="0021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MS Gothic"/>
    <w:panose1 w:val="05010000000000000000"/>
    <w:charset w:val="00"/>
    <w:family w:val="auto"/>
    <w:pitch w:val="variable"/>
    <w:sig w:usb0="800000AF" w:usb1="1807ECEA" w:usb2="00000010" w:usb3="00000000" w:csb0="8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06B" w:rsidRDefault="0096406B" w:rsidP="002114BA">
      <w:pPr>
        <w:spacing w:after="0" w:line="240" w:lineRule="auto"/>
      </w:pPr>
      <w:r>
        <w:separator/>
      </w:r>
    </w:p>
  </w:footnote>
  <w:footnote w:type="continuationSeparator" w:id="0">
    <w:p w:rsidR="0096406B" w:rsidRDefault="0096406B" w:rsidP="0021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4BA" w:rsidRDefault="002114BA">
    <w:pPr>
      <w:pStyle w:val="Zhlav"/>
    </w:pPr>
    <w:r>
      <w:t xml:space="preserve">Příloha </w:t>
    </w:r>
    <w:r w:rsidR="00231EB2">
      <w:t xml:space="preserve">č. </w:t>
    </w:r>
    <w:proofErr w:type="gramStart"/>
    <w:r w:rsidR="00231EB2">
      <w:t>5b -</w:t>
    </w:r>
    <w:r>
      <w:t xml:space="preserve"> technická</w:t>
    </w:r>
    <w:proofErr w:type="gramEnd"/>
    <w:r>
      <w:t xml:space="preserve"> specifikace</w:t>
    </w:r>
  </w:p>
  <w:p w:rsidR="002114BA" w:rsidRDefault="002114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674F1"/>
    <w:multiLevelType w:val="hybridMultilevel"/>
    <w:tmpl w:val="A1DCE736"/>
    <w:lvl w:ilvl="0" w:tplc="212CF5A0">
      <w:numFmt w:val="bullet"/>
      <w:lvlText w:val="•"/>
      <w:lvlJc w:val="left"/>
      <w:pPr>
        <w:ind w:left="720" w:hanging="360"/>
      </w:pPr>
      <w:rPr>
        <w:rFonts w:ascii="OpenSymbol" w:eastAsiaTheme="minorHAnsi" w:hAnsi="OpenSymbol" w:cs="Open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73003"/>
    <w:multiLevelType w:val="hybridMultilevel"/>
    <w:tmpl w:val="2B524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4BA"/>
    <w:rsid w:val="00086B80"/>
    <w:rsid w:val="002114BA"/>
    <w:rsid w:val="00231EB2"/>
    <w:rsid w:val="003D5081"/>
    <w:rsid w:val="0096406B"/>
    <w:rsid w:val="00A240D5"/>
    <w:rsid w:val="00A3713B"/>
    <w:rsid w:val="00CF7893"/>
    <w:rsid w:val="00DE0C5D"/>
    <w:rsid w:val="00FC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1162"/>
  <w15:docId w15:val="{1901056C-FC10-4402-A060-F65779B5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713B"/>
  </w:style>
  <w:style w:type="paragraph" w:styleId="Nadpis1">
    <w:name w:val="heading 1"/>
    <w:basedOn w:val="Normln"/>
    <w:next w:val="Normln"/>
    <w:link w:val="Nadpis1Char"/>
    <w:uiPriority w:val="9"/>
    <w:qFormat/>
    <w:rsid w:val="00A3713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713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13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713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713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713B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713B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713B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713B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3713B"/>
    <w:rPr>
      <w:smallCaps/>
      <w:spacing w:val="5"/>
      <w:sz w:val="36"/>
      <w:szCs w:val="36"/>
    </w:rPr>
  </w:style>
  <w:style w:type="character" w:customStyle="1" w:styleId="Nadpis2Char">
    <w:name w:val="Nadpis 2 Char"/>
    <w:link w:val="Nadpis2"/>
    <w:uiPriority w:val="9"/>
    <w:semiHidden/>
    <w:rsid w:val="00A3713B"/>
    <w:rPr>
      <w:small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A3713B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A3713B"/>
    <w:rPr>
      <w:b/>
      <w:bCs/>
      <w:spacing w:val="5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A3713B"/>
    <w:rPr>
      <w:i/>
      <w:iCs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A3713B"/>
    <w:rPr>
      <w:b/>
      <w:bCs/>
      <w:color w:val="595959"/>
      <w:spacing w:val="5"/>
      <w:shd w:val="clear" w:color="auto" w:fill="FFFFFF"/>
    </w:rPr>
  </w:style>
  <w:style w:type="character" w:customStyle="1" w:styleId="Nadpis7Char">
    <w:name w:val="Nadpis 7 Char"/>
    <w:link w:val="Nadpis7"/>
    <w:uiPriority w:val="9"/>
    <w:semiHidden/>
    <w:rsid w:val="00A3713B"/>
    <w:rPr>
      <w:b/>
      <w:bCs/>
      <w:i/>
      <w:iCs/>
      <w:color w:val="5A5A5A"/>
      <w:sz w:val="20"/>
      <w:szCs w:val="20"/>
    </w:rPr>
  </w:style>
  <w:style w:type="character" w:customStyle="1" w:styleId="Nadpis8Char">
    <w:name w:val="Nadpis 8 Char"/>
    <w:link w:val="Nadpis8"/>
    <w:uiPriority w:val="9"/>
    <w:semiHidden/>
    <w:rsid w:val="00A3713B"/>
    <w:rPr>
      <w:b/>
      <w:bCs/>
      <w:color w:val="7F7F7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A3713B"/>
    <w:rPr>
      <w:b/>
      <w:bCs/>
      <w:i/>
      <w:iCs/>
      <w:color w:val="7F7F7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3713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link w:val="Nzev"/>
    <w:uiPriority w:val="10"/>
    <w:rsid w:val="00A3713B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713B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link w:val="Podnadpis"/>
    <w:uiPriority w:val="11"/>
    <w:rsid w:val="00A3713B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A3713B"/>
    <w:rPr>
      <w:b/>
      <w:bCs/>
    </w:rPr>
  </w:style>
  <w:style w:type="character" w:styleId="Zdraznn">
    <w:name w:val="Emphasis"/>
    <w:uiPriority w:val="20"/>
    <w:qFormat/>
    <w:rsid w:val="00A3713B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A3713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3713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A3713B"/>
    <w:rPr>
      <w:i/>
      <w:iCs/>
    </w:rPr>
  </w:style>
  <w:style w:type="character" w:customStyle="1" w:styleId="CittChar">
    <w:name w:val="Citát Char"/>
    <w:link w:val="Citt"/>
    <w:uiPriority w:val="29"/>
    <w:rsid w:val="00A3713B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713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link w:val="Vrazncitt"/>
    <w:uiPriority w:val="30"/>
    <w:rsid w:val="00A3713B"/>
    <w:rPr>
      <w:i/>
      <w:iCs/>
    </w:rPr>
  </w:style>
  <w:style w:type="character" w:styleId="Zdraznnjemn">
    <w:name w:val="Subtle Emphasis"/>
    <w:uiPriority w:val="19"/>
    <w:qFormat/>
    <w:rsid w:val="00A3713B"/>
    <w:rPr>
      <w:i/>
      <w:iCs/>
    </w:rPr>
  </w:style>
  <w:style w:type="character" w:styleId="Zdraznnintenzivn">
    <w:name w:val="Intense Emphasis"/>
    <w:uiPriority w:val="21"/>
    <w:qFormat/>
    <w:rsid w:val="00A3713B"/>
    <w:rPr>
      <w:b/>
      <w:bCs/>
      <w:i/>
      <w:iCs/>
    </w:rPr>
  </w:style>
  <w:style w:type="character" w:styleId="Odkazjemn">
    <w:name w:val="Subtle Reference"/>
    <w:uiPriority w:val="31"/>
    <w:qFormat/>
    <w:rsid w:val="00A3713B"/>
    <w:rPr>
      <w:smallCaps/>
    </w:rPr>
  </w:style>
  <w:style w:type="character" w:styleId="Odkazintenzivn">
    <w:name w:val="Intense Reference"/>
    <w:uiPriority w:val="32"/>
    <w:qFormat/>
    <w:rsid w:val="00A3713B"/>
    <w:rPr>
      <w:b/>
      <w:bCs/>
      <w:smallCaps/>
    </w:rPr>
  </w:style>
  <w:style w:type="character" w:styleId="Nzevknihy">
    <w:name w:val="Book Title"/>
    <w:uiPriority w:val="33"/>
    <w:qFormat/>
    <w:rsid w:val="00A3713B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713B"/>
    <w:pPr>
      <w:outlineLvl w:val="9"/>
    </w:pPr>
    <w:rPr>
      <w:lang w:bidi="en-US"/>
    </w:rPr>
  </w:style>
  <w:style w:type="paragraph" w:styleId="Zhlav">
    <w:name w:val="header"/>
    <w:basedOn w:val="Normln"/>
    <w:link w:val="ZhlavChar"/>
    <w:uiPriority w:val="99"/>
    <w:unhideWhenUsed/>
    <w:rsid w:val="0021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14BA"/>
  </w:style>
  <w:style w:type="paragraph" w:styleId="Zpat">
    <w:name w:val="footer"/>
    <w:basedOn w:val="Normln"/>
    <w:link w:val="ZpatChar"/>
    <w:uiPriority w:val="99"/>
    <w:unhideWhenUsed/>
    <w:rsid w:val="0021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 Vaněk Ph.D. MBA</dc:creator>
  <cp:lastModifiedBy>Věra Halfarová</cp:lastModifiedBy>
  <cp:revision>2</cp:revision>
  <dcterms:created xsi:type="dcterms:W3CDTF">2025-08-28T07:35:00Z</dcterms:created>
  <dcterms:modified xsi:type="dcterms:W3CDTF">2025-09-05T08:06:00Z</dcterms:modified>
</cp:coreProperties>
</file>