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256A4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2142856E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10059B1D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421C6C52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77455E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250FC5F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692AB97F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271B2763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57C2CA2B" w14:textId="77777777" w:rsidR="008325E5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8325E5">
        <w:rPr>
          <w:rFonts w:ascii="Tahoma" w:hAnsi="Tahoma" w:cs="Tahoma"/>
          <w:sz w:val="20"/>
          <w:szCs w:val="22"/>
        </w:rPr>
        <w:t xml:space="preserve"> </w:t>
      </w:r>
      <w:bookmarkStart w:id="2" w:name="_GoBack"/>
      <w:bookmarkEnd w:id="2"/>
    </w:p>
    <w:p w14:paraId="66D2BF37" w14:textId="77777777" w:rsidR="0046140A" w:rsidRDefault="008325E5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smluvních</w:t>
      </w:r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="0046140A"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3DFE9AE4" w14:textId="77777777" w:rsidR="008325E5" w:rsidRPr="00633675" w:rsidRDefault="008325E5" w:rsidP="008325E5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  <w:t>ve věcech technických:</w:t>
      </w:r>
      <w:r>
        <w:rPr>
          <w:rFonts w:ascii="Tahoma" w:hAnsi="Tahoma" w:cs="Tahoma"/>
          <w:sz w:val="20"/>
          <w:szCs w:val="22"/>
        </w:rPr>
        <w:tab/>
        <w:t>prim. Vladimírem Kurfürstem</w:t>
      </w:r>
    </w:p>
    <w:p w14:paraId="6B88E49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7DB70EF5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DIČ:</w:t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</w:r>
      <w:r w:rsidR="008325E5">
        <w:rPr>
          <w:rFonts w:ascii="Tahoma" w:hAnsi="Tahoma" w:cs="Tahoma"/>
          <w:sz w:val="20"/>
          <w:szCs w:val="22"/>
        </w:rPr>
        <w:tab/>
        <w:t>C</w:t>
      </w:r>
      <w:r w:rsidRPr="008E52BF">
        <w:rPr>
          <w:rFonts w:ascii="Tahoma" w:hAnsi="Tahoma" w:cs="Tahoma"/>
          <w:sz w:val="20"/>
          <w:szCs w:val="22"/>
        </w:rPr>
        <w:t>Z47813750</w:t>
      </w:r>
    </w:p>
    <w:p w14:paraId="72C5C88F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28AC0405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6A230736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KS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5CD882D3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791FBB2E" w14:textId="77777777"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515CCE71" w14:textId="6B30A90A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(doplní účastník ZŘ)</w:t>
      </w:r>
    </w:p>
    <w:p w14:paraId="7068B345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7BB23F5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034244E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ab/>
      </w:r>
      <w:bookmarkStart w:id="3" w:name="_Hlk82416148"/>
      <w:r w:rsidRPr="007C0279">
        <w:rPr>
          <w:rFonts w:ascii="Tahoma" w:hAnsi="Tahoma" w:cs="Tahoma"/>
          <w:sz w:val="20"/>
          <w:szCs w:val="22"/>
          <w:highlight w:val="yellow"/>
        </w:rPr>
        <w:t>ve věcech smluvních</w:t>
      </w:r>
      <w:bookmarkEnd w:id="3"/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6B616D05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3A04ADD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764AD5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3C59DCA2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5E721561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soudem v ……………, oddíl …, vložka …</w:t>
      </w:r>
    </w:p>
    <w:p w14:paraId="59AB24F8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15B62C2B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8C91A95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260D7902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E8020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78A22772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FD03214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11E183B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2A949016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20687130" w14:textId="77777777" w:rsidR="0046140A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61CB0611" w14:textId="77777777" w:rsidR="00070892" w:rsidRDefault="00070892" w:rsidP="00070892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4B4ACE4" w14:textId="77777777" w:rsidR="00070892" w:rsidRPr="002E01D8" w:rsidRDefault="00070892" w:rsidP="00070892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62598430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14:paraId="1F310BB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79B42FF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A661078" w14:textId="6FAB84F5"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uzavřena na základě výsledku veřejné zakázky s názvem „</w:t>
      </w:r>
      <w:r w:rsidR="00AE71C6">
        <w:rPr>
          <w:rFonts w:ascii="Tahoma" w:hAnsi="Tahoma" w:cs="Tahoma"/>
          <w:b/>
          <w:sz w:val="20"/>
          <w:szCs w:val="20"/>
        </w:rPr>
        <w:t>Pořízení tkáňového procesoru</w:t>
      </w:r>
      <w:r w:rsidR="00B35F85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.</w:t>
      </w:r>
    </w:p>
    <w:p w14:paraId="1892B1A6" w14:textId="57980BDC" w:rsidR="00AC45F4" w:rsidRPr="00EE3DC1" w:rsidRDefault="00AC45F4" w:rsidP="00EE3DC1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>za</w:t>
      </w:r>
      <w:r w:rsidR="00AE71C6">
        <w:rPr>
          <w:rFonts w:ascii="Tahoma" w:hAnsi="Tahoma"/>
          <w:sz w:val="20"/>
          <w:szCs w:val="20"/>
        </w:rPr>
        <w:t>koupení</w:t>
      </w:r>
      <w:r w:rsidR="00914A6C" w:rsidRPr="00CE5772">
        <w:rPr>
          <w:rFonts w:ascii="Tahoma" w:hAnsi="Tahoma"/>
          <w:sz w:val="20"/>
          <w:szCs w:val="20"/>
        </w:rPr>
        <w:t xml:space="preserve"> </w:t>
      </w:r>
      <w:r w:rsidR="00AE71C6" w:rsidRPr="00AE71C6">
        <w:rPr>
          <w:rFonts w:ascii="Tahoma" w:hAnsi="Tahoma"/>
          <w:b/>
          <w:sz w:val="20"/>
          <w:szCs w:val="20"/>
        </w:rPr>
        <w:t>1 ks tkáňového procesoru</w:t>
      </w:r>
      <w:r w:rsidR="00E74505">
        <w:rPr>
          <w:rFonts w:ascii="Tahoma" w:hAnsi="Tahoma"/>
          <w:b/>
          <w:sz w:val="20"/>
          <w:szCs w:val="20"/>
        </w:rPr>
        <w:t xml:space="preserve"> </w:t>
      </w:r>
      <w:r w:rsidR="00E74505" w:rsidRPr="00E74505">
        <w:rPr>
          <w:rFonts w:ascii="Tahoma" w:hAnsi="Tahoma"/>
          <w:sz w:val="20"/>
          <w:szCs w:val="20"/>
        </w:rPr>
        <w:t>(</w:t>
      </w:r>
      <w:r w:rsidR="00E74505">
        <w:rPr>
          <w:rFonts w:ascii="Tahoma" w:hAnsi="Tahoma" w:cs="Tahoma"/>
          <w:sz w:val="20"/>
          <w:szCs w:val="20"/>
        </w:rPr>
        <w:t>dále jen „zboží“)</w:t>
      </w:r>
      <w:r w:rsidR="000654E0" w:rsidRPr="00EE3DC1">
        <w:rPr>
          <w:rFonts w:ascii="Tahoma" w:hAnsi="Tahoma" w:cs="Tahoma"/>
          <w:sz w:val="20"/>
          <w:szCs w:val="20"/>
        </w:rPr>
        <w:t xml:space="preserve">, </w:t>
      </w:r>
      <w:r w:rsidR="00E74505">
        <w:rPr>
          <w:rFonts w:ascii="Tahoma" w:hAnsi="Tahoma" w:cs="Tahoma"/>
          <w:sz w:val="20"/>
          <w:szCs w:val="20"/>
        </w:rPr>
        <w:br/>
      </w:r>
      <w:r w:rsidR="000654E0" w:rsidRPr="00EE3DC1">
        <w:rPr>
          <w:rFonts w:ascii="Tahoma" w:hAnsi="Tahoma" w:cs="Tahoma"/>
          <w:sz w:val="20"/>
          <w:szCs w:val="20"/>
        </w:rPr>
        <w:t>a to za podmínek blíže specifikovaných v Zadávací dokumentaci vztahující se ke shora označené veřejné zakázce, včetně jejích příloh</w:t>
      </w:r>
      <w:r w:rsidR="00E74505">
        <w:rPr>
          <w:rFonts w:ascii="Tahoma" w:hAnsi="Tahoma" w:cs="Tahoma"/>
          <w:sz w:val="20"/>
          <w:szCs w:val="20"/>
        </w:rPr>
        <w:t xml:space="preserve"> a přílohy č. 1 Specifikace</w:t>
      </w:r>
      <w:r w:rsidR="000654E0" w:rsidRPr="00EE3DC1">
        <w:rPr>
          <w:rFonts w:ascii="Tahoma" w:hAnsi="Tahoma" w:cs="Tahoma"/>
          <w:sz w:val="20"/>
          <w:szCs w:val="20"/>
        </w:rPr>
        <w:t xml:space="preserve">. </w:t>
      </w:r>
    </w:p>
    <w:p w14:paraId="34C1D035" w14:textId="5DA39009" w:rsidR="0046140A" w:rsidRPr="00EE3DC1" w:rsidRDefault="00557BF4" w:rsidP="002B7B9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E3DC1">
        <w:rPr>
          <w:rFonts w:ascii="Tahoma" w:hAnsi="Tahoma" w:cs="Tahoma"/>
          <w:sz w:val="20"/>
          <w:szCs w:val="20"/>
        </w:rPr>
        <w:t>K</w:t>
      </w:r>
      <w:r w:rsidR="0046140A" w:rsidRPr="00EE3DC1">
        <w:rPr>
          <w:rFonts w:ascii="Tahoma" w:hAnsi="Tahoma" w:cs="Tahoma"/>
          <w:sz w:val="20"/>
          <w:szCs w:val="20"/>
        </w:rPr>
        <w:t xml:space="preserve">upující se zavazuje prodávajícímu za poskytnuté plnění zaplatit za podmínek uvedených v této smlouvě kupní cenu dle čl. V této smlouvy. </w:t>
      </w:r>
    </w:p>
    <w:p w14:paraId="0A5D3FD3" w14:textId="77777777"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 a seznámení zaměstnanců uživatele s jeho řádným užíváním. </w:t>
      </w:r>
    </w:p>
    <w:p w14:paraId="36662877" w14:textId="5EFFB6D6" w:rsidR="003912CF" w:rsidRPr="00D56315" w:rsidRDefault="008E6DD4" w:rsidP="009529C3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  <w:highlight w:val="yellow"/>
        </w:rPr>
      </w:pPr>
      <w:r w:rsidRPr="00D56315">
        <w:rPr>
          <w:rFonts w:ascii="Tahoma" w:hAnsi="Tahoma" w:cs="Tahoma"/>
          <w:sz w:val="20"/>
          <w:szCs w:val="20"/>
          <w:highlight w:val="yellow"/>
        </w:rPr>
        <w:t xml:space="preserve">Prodávající poskytuje kupujícímu následující záruku na jakost: </w:t>
      </w:r>
      <w:r w:rsidR="00AE71C6" w:rsidRPr="00AE71C6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AE71C6" w:rsidRPr="00AE71C6">
        <w:rPr>
          <w:rFonts w:ascii="Tahoma" w:hAnsi="Tahoma" w:cs="Tahoma"/>
          <w:i/>
          <w:sz w:val="20"/>
          <w:szCs w:val="20"/>
          <w:highlight w:val="yellow"/>
        </w:rPr>
        <w:t xml:space="preserve"> </w:t>
      </w:r>
      <w:r w:rsidR="00AE71C6">
        <w:rPr>
          <w:rFonts w:ascii="Tahoma" w:hAnsi="Tahoma" w:cs="Tahoma"/>
          <w:i/>
          <w:sz w:val="20"/>
          <w:szCs w:val="20"/>
          <w:highlight w:val="yellow"/>
        </w:rPr>
        <w:t>(min. 36 měsíců).</w:t>
      </w:r>
    </w:p>
    <w:p w14:paraId="082B3A85" w14:textId="43DAA013" w:rsidR="007A64E0" w:rsidRDefault="00411B59" w:rsidP="008B6FDF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564A8">
        <w:rPr>
          <w:rFonts w:ascii="Tahoma" w:hAnsi="Tahoma" w:cs="Tahoma"/>
          <w:sz w:val="20"/>
          <w:szCs w:val="20"/>
        </w:rPr>
        <w:t xml:space="preserve">Prodávající </w:t>
      </w:r>
      <w:r w:rsidR="00EC193C" w:rsidRPr="00A564A8">
        <w:rPr>
          <w:rFonts w:ascii="Tahoma" w:hAnsi="Tahoma" w:cs="Tahoma"/>
          <w:sz w:val="20"/>
          <w:szCs w:val="20"/>
        </w:rPr>
        <w:t>doložil čestné prohlášení do nabídky</w:t>
      </w:r>
      <w:r w:rsidR="005064A5" w:rsidRPr="00A564A8">
        <w:rPr>
          <w:rFonts w:ascii="Tahoma" w:hAnsi="Tahoma" w:cs="Tahoma"/>
          <w:sz w:val="20"/>
          <w:szCs w:val="20"/>
        </w:rPr>
        <w:t xml:space="preserve"> (</w:t>
      </w:r>
      <w:r w:rsidR="007133E4" w:rsidRPr="00A564A8">
        <w:rPr>
          <w:rFonts w:ascii="Tahoma" w:hAnsi="Tahoma" w:cs="Tahoma"/>
          <w:sz w:val="20"/>
          <w:szCs w:val="20"/>
        </w:rPr>
        <w:t>P</w:t>
      </w:r>
      <w:r w:rsidR="00914A6C" w:rsidRPr="00A564A8">
        <w:rPr>
          <w:rFonts w:ascii="Tahoma" w:hAnsi="Tahoma" w:cs="Tahoma"/>
          <w:sz w:val="20"/>
          <w:szCs w:val="20"/>
        </w:rPr>
        <w:t xml:space="preserve">říloha č. </w:t>
      </w:r>
      <w:r w:rsidR="00AE71C6">
        <w:rPr>
          <w:rFonts w:ascii="Tahoma" w:hAnsi="Tahoma" w:cs="Tahoma"/>
          <w:sz w:val="20"/>
          <w:szCs w:val="20"/>
        </w:rPr>
        <w:t>2</w:t>
      </w:r>
      <w:r w:rsidR="007133E4" w:rsidRPr="00A564A8">
        <w:rPr>
          <w:rFonts w:ascii="Tahoma" w:hAnsi="Tahoma" w:cs="Tahoma"/>
          <w:sz w:val="20"/>
          <w:szCs w:val="20"/>
        </w:rPr>
        <w:t xml:space="preserve"> ZD</w:t>
      </w:r>
      <w:r w:rsidR="005064A5" w:rsidRPr="00A564A8">
        <w:rPr>
          <w:rFonts w:ascii="Tahoma" w:hAnsi="Tahoma" w:cs="Tahoma"/>
          <w:sz w:val="20"/>
          <w:szCs w:val="20"/>
        </w:rPr>
        <w:t>)</w:t>
      </w:r>
      <w:r w:rsidR="00DC77B0" w:rsidRPr="00A564A8">
        <w:rPr>
          <w:rFonts w:ascii="Tahoma" w:hAnsi="Tahoma" w:cs="Tahoma"/>
          <w:sz w:val="20"/>
          <w:szCs w:val="20"/>
        </w:rPr>
        <w:t xml:space="preserve"> a následně jako vítězný účastník</w:t>
      </w:r>
      <w:r w:rsidR="00EC193C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poskytl</w:t>
      </w:r>
      <w:r w:rsidRPr="00A564A8">
        <w:rPr>
          <w:rFonts w:ascii="Tahoma" w:hAnsi="Tahoma" w:cs="Tahoma"/>
          <w:sz w:val="20"/>
          <w:szCs w:val="20"/>
        </w:rPr>
        <w:t xml:space="preserve"> zadavateli všechny doklady </w:t>
      </w:r>
      <w:r w:rsidR="009816DF" w:rsidRPr="00A564A8">
        <w:rPr>
          <w:rFonts w:ascii="Tahoma" w:hAnsi="Tahoma" w:cs="Tahoma"/>
          <w:sz w:val="20"/>
          <w:szCs w:val="20"/>
        </w:rPr>
        <w:t>k jednotlivým položkám</w:t>
      </w:r>
      <w:r w:rsidR="00C82151" w:rsidRPr="00A564A8">
        <w:rPr>
          <w:rFonts w:ascii="Tahoma" w:hAnsi="Tahoma" w:cs="Tahoma"/>
          <w:sz w:val="20"/>
          <w:szCs w:val="20"/>
        </w:rPr>
        <w:t>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 xml:space="preserve">prokazující, že předmět plnění </w:t>
      </w:r>
      <w:r w:rsidR="008B6FDF" w:rsidRPr="00A564A8">
        <w:rPr>
          <w:rFonts w:ascii="Tahoma" w:hAnsi="Tahoma" w:cs="Tahoma"/>
          <w:sz w:val="20"/>
          <w:szCs w:val="20"/>
        </w:rPr>
        <w:t xml:space="preserve">splňuje požadavky nařízení EU 2017/746 o diagnostických zdravotnických prostředcích in vitro </w:t>
      </w:r>
      <w:r w:rsidR="007A64E0" w:rsidRPr="00A564A8">
        <w:rPr>
          <w:rFonts w:ascii="Tahoma" w:hAnsi="Tahoma" w:cs="Tahoma"/>
          <w:sz w:val="20"/>
          <w:szCs w:val="20"/>
        </w:rPr>
        <w:t>a je z hlediska právních předpisů způsobilý a vhodný pro poskytování zdravotní péče. Dále poskytl doklady ke splnění vešk</w:t>
      </w:r>
      <w:r w:rsidR="004E76B6" w:rsidRPr="00A564A8">
        <w:rPr>
          <w:rFonts w:ascii="Tahoma" w:hAnsi="Tahoma" w:cs="Tahoma"/>
          <w:sz w:val="20"/>
          <w:szCs w:val="20"/>
        </w:rPr>
        <w:t xml:space="preserve">erých </w:t>
      </w:r>
      <w:r w:rsidR="007A64E0" w:rsidRPr="00A564A8">
        <w:rPr>
          <w:rFonts w:ascii="Tahoma" w:hAnsi="Tahoma" w:cs="Tahoma"/>
          <w:sz w:val="20"/>
          <w:szCs w:val="20"/>
        </w:rPr>
        <w:t>požadavků zákona č.</w:t>
      </w:r>
      <w:r w:rsidR="00445F0C" w:rsidRPr="00A564A8">
        <w:rPr>
          <w:rFonts w:ascii="Tahoma" w:hAnsi="Tahoma" w:cs="Tahoma"/>
          <w:sz w:val="20"/>
          <w:szCs w:val="20"/>
        </w:rPr>
        <w:t xml:space="preserve"> </w:t>
      </w:r>
      <w:r w:rsidR="008B6FDF" w:rsidRPr="00A564A8">
        <w:rPr>
          <w:rFonts w:ascii="Tahoma" w:hAnsi="Tahoma" w:cs="Tahoma"/>
          <w:sz w:val="20"/>
          <w:szCs w:val="20"/>
        </w:rPr>
        <w:t>375/2022</w:t>
      </w:r>
      <w:r w:rsidR="007A64E0" w:rsidRPr="00A564A8">
        <w:rPr>
          <w:rFonts w:ascii="Tahoma" w:hAnsi="Tahoma" w:cs="Tahoma"/>
          <w:sz w:val="20"/>
          <w:szCs w:val="20"/>
        </w:rPr>
        <w:t xml:space="preserve"> Sb., o zdravotnických prostředcích, ve znění pozdějších předpisů a jeho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prováděcích předpisů,</w:t>
      </w:r>
      <w:r w:rsidR="009816DF" w:rsidRPr="00A564A8">
        <w:rPr>
          <w:rFonts w:ascii="Tahoma" w:hAnsi="Tahoma" w:cs="Tahoma"/>
          <w:sz w:val="20"/>
          <w:szCs w:val="20"/>
        </w:rPr>
        <w:t xml:space="preserve"> </w:t>
      </w:r>
      <w:r w:rsidR="007A64E0" w:rsidRPr="00A564A8">
        <w:rPr>
          <w:rFonts w:ascii="Tahoma" w:hAnsi="Tahoma" w:cs="Tahoma"/>
          <w:sz w:val="20"/>
          <w:szCs w:val="20"/>
        </w:rPr>
        <w:t>kterými stanoví technické požadavky na zdravotnické prostředky.</w:t>
      </w:r>
      <w:r w:rsidR="00A65549" w:rsidRPr="00A564A8">
        <w:rPr>
          <w:rFonts w:ascii="Tahoma" w:hAnsi="Tahoma" w:cs="Tahoma"/>
          <w:sz w:val="20"/>
          <w:szCs w:val="20"/>
        </w:rPr>
        <w:t xml:space="preserve"> </w:t>
      </w:r>
    </w:p>
    <w:p w14:paraId="7D70B942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8801AF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1597C85B" w14:textId="77777777" w:rsidR="0046140A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7AEE153C" w14:textId="77777777" w:rsidR="008A21E0" w:rsidRPr="002E01D8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AB19842" w14:textId="01EEC859" w:rsidR="006664E7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dodat kupujícímu zboží do místa plnění, kterým je sídlo uživatele, tj. </w:t>
      </w:r>
      <w:r w:rsidRPr="002E01D8">
        <w:rPr>
          <w:rFonts w:ascii="Tahoma" w:hAnsi="Tahoma" w:cs="Tahoma"/>
          <w:bCs/>
          <w:sz w:val="20"/>
          <w:szCs w:val="20"/>
        </w:rPr>
        <w:t>Slezská nemocnice v Opavě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 xml:space="preserve">746 01, Opava, </w:t>
      </w:r>
      <w:r w:rsidR="00AE71C6">
        <w:rPr>
          <w:rFonts w:ascii="Tahoma" w:hAnsi="Tahoma" w:cs="Tahoma"/>
          <w:sz w:val="20"/>
          <w:szCs w:val="20"/>
        </w:rPr>
        <w:br/>
      </w:r>
      <w:r w:rsidRPr="002E01D8">
        <w:rPr>
          <w:rFonts w:ascii="Tahoma" w:hAnsi="Tahoma" w:cs="Tahoma"/>
          <w:sz w:val="20"/>
          <w:szCs w:val="20"/>
        </w:rPr>
        <w:t>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AE71C6">
        <w:rPr>
          <w:rFonts w:ascii="Tahoma" w:hAnsi="Tahoma" w:cs="Tahoma"/>
          <w:sz w:val="20"/>
          <w:szCs w:val="20"/>
        </w:rPr>
        <w:t>pavilon O – patologie.</w:t>
      </w:r>
    </w:p>
    <w:p w14:paraId="367C0411" w14:textId="1D62A9EF" w:rsidR="008E6DD4" w:rsidRPr="002E01D8" w:rsidRDefault="00AE71C6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plnění </w:t>
      </w:r>
      <w:r w:rsidR="008E6DD4" w:rsidRPr="002E01D8">
        <w:rPr>
          <w:rFonts w:ascii="Tahoma" w:hAnsi="Tahoma" w:cs="Tahoma"/>
          <w:sz w:val="20"/>
          <w:szCs w:val="20"/>
        </w:rPr>
        <w:t>bude d</w:t>
      </w:r>
      <w:r w:rsidR="00897A5C">
        <w:rPr>
          <w:rFonts w:ascii="Tahoma" w:hAnsi="Tahoma" w:cs="Tahoma"/>
          <w:sz w:val="20"/>
          <w:szCs w:val="20"/>
        </w:rPr>
        <w:t xml:space="preserve">odán kupujícímu nejpozději </w:t>
      </w:r>
      <w:r w:rsidR="00897A5C" w:rsidRPr="00C71EFE">
        <w:rPr>
          <w:rFonts w:ascii="Tahoma" w:hAnsi="Tahoma" w:cs="Tahoma"/>
          <w:b/>
          <w:sz w:val="20"/>
          <w:szCs w:val="20"/>
        </w:rPr>
        <w:t xml:space="preserve">do </w:t>
      </w:r>
      <w:r>
        <w:rPr>
          <w:rFonts w:ascii="Tahoma" w:hAnsi="Tahoma" w:cs="Tahoma"/>
          <w:b/>
          <w:sz w:val="20"/>
          <w:szCs w:val="20"/>
        </w:rPr>
        <w:t>90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9529C3">
        <w:rPr>
          <w:rFonts w:ascii="Tahoma" w:hAnsi="Tahoma" w:cs="Tahoma"/>
          <w:b/>
          <w:sz w:val="20"/>
          <w:szCs w:val="20"/>
        </w:rPr>
        <w:t>pracovních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</w:t>
      </w:r>
      <w:r>
        <w:rPr>
          <w:rFonts w:ascii="Tahoma" w:hAnsi="Tahoma" w:cs="Tahoma"/>
          <w:b/>
          <w:sz w:val="20"/>
          <w:szCs w:val="20"/>
        </w:rPr>
        <w:t>í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</w:t>
      </w:r>
      <w:r>
        <w:rPr>
          <w:rFonts w:ascii="Tahoma" w:hAnsi="Tahoma" w:cs="Tahoma"/>
          <w:sz w:val="20"/>
          <w:szCs w:val="20"/>
        </w:rPr>
        <w:t>nabytí účinnosti této smlouvy</w:t>
      </w:r>
      <w:r w:rsidR="008E6DD4" w:rsidRPr="002E01D8">
        <w:rPr>
          <w:rFonts w:ascii="Tahoma" w:hAnsi="Tahoma" w:cs="Tahoma"/>
          <w:sz w:val="20"/>
          <w:szCs w:val="20"/>
        </w:rPr>
        <w:t>.</w:t>
      </w:r>
    </w:p>
    <w:p w14:paraId="0C2DB0D8" w14:textId="372BD476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</w:t>
      </w:r>
      <w:r w:rsidR="00AE71C6">
        <w:rPr>
          <w:rFonts w:ascii="Tahoma" w:hAnsi="Tahoma" w:cs="Tahoma"/>
          <w:sz w:val="20"/>
          <w:szCs w:val="20"/>
        </w:rPr>
        <w:t>, instalováno, zaškolen personál pro jeho obsluhu</w:t>
      </w:r>
      <w:r w:rsidR="00081FF3" w:rsidRPr="002E01D8">
        <w:rPr>
          <w:rFonts w:ascii="Tahoma" w:hAnsi="Tahoma" w:cs="Tahoma"/>
          <w:sz w:val="20"/>
          <w:szCs w:val="20"/>
        </w:rPr>
        <w:t xml:space="preserve"> a převzato kupujícím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</w:t>
      </w:r>
      <w:r w:rsidR="00AE71C6">
        <w:rPr>
          <w:rFonts w:ascii="Tahoma" w:hAnsi="Tahoma" w:cs="Tahoma"/>
          <w:sz w:val="20"/>
          <w:szCs w:val="20"/>
        </w:rPr>
        <w:t>, dle odst. 1 tohoto článku</w:t>
      </w:r>
      <w:r w:rsidR="00E74505">
        <w:rPr>
          <w:rFonts w:ascii="Tahoma" w:hAnsi="Tahoma" w:cs="Tahoma"/>
          <w:sz w:val="20"/>
          <w:szCs w:val="20"/>
        </w:rPr>
        <w:t>.</w:t>
      </w:r>
    </w:p>
    <w:p w14:paraId="4FE5F9A0" w14:textId="59A4E68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</w:t>
      </w:r>
      <w:r w:rsidR="00E74505">
        <w:rPr>
          <w:rFonts w:ascii="Tahoma" w:hAnsi="Tahoma" w:cs="Tahoma"/>
          <w:sz w:val="20"/>
          <w:szCs w:val="20"/>
        </w:rPr>
        <w:t>boží</w:t>
      </w:r>
      <w:r w:rsidRPr="002E01D8">
        <w:rPr>
          <w:rFonts w:ascii="Tahoma" w:hAnsi="Tahoma" w:cs="Tahoma"/>
          <w:sz w:val="20"/>
          <w:szCs w:val="20"/>
        </w:rPr>
        <w:t xml:space="preserve">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44A660F1" w14:textId="77777777"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3DE1D405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8F8ED2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6D66E14F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3314DAAD" w14:textId="77777777" w:rsidR="00E74505" w:rsidRPr="00E74505" w:rsidRDefault="00E74505" w:rsidP="004D2E1A">
      <w:pPr>
        <w:pStyle w:val="Normlnweb"/>
        <w:numPr>
          <w:ilvl w:val="0"/>
          <w:numId w:val="5"/>
        </w:numPr>
        <w:spacing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E74505">
        <w:rPr>
          <w:rFonts w:ascii="Tahoma" w:hAnsi="Tahoma" w:cs="Tahoma"/>
          <w:sz w:val="20"/>
          <w:szCs w:val="20"/>
        </w:rPr>
        <w:t>Kupní cena je stanovena dohodou smluvních stran a činí:</w:t>
      </w:r>
    </w:p>
    <w:p w14:paraId="4215FBFC" w14:textId="77777777" w:rsidR="00E74505" w:rsidRPr="00E74505" w:rsidRDefault="00E74505" w:rsidP="004D2E1A">
      <w:pPr>
        <w:pStyle w:val="Normlnweb"/>
        <w:spacing w:before="0" w:beforeAutospacing="0" w:after="0" w:afterAutospacing="0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E74505">
        <w:rPr>
          <w:rFonts w:ascii="Tahoma" w:hAnsi="Tahoma" w:cs="Tahoma"/>
          <w:b/>
          <w:sz w:val="20"/>
          <w:szCs w:val="20"/>
        </w:rPr>
        <w:t>bez DPH</w:t>
      </w:r>
      <w:r w:rsidRPr="00E74505">
        <w:rPr>
          <w:rFonts w:ascii="Tahoma" w:hAnsi="Tahoma" w:cs="Tahoma"/>
          <w:b/>
          <w:sz w:val="20"/>
          <w:szCs w:val="20"/>
        </w:rPr>
        <w:tab/>
        <w:t>………… Kč</w:t>
      </w:r>
    </w:p>
    <w:p w14:paraId="6070C3EB" w14:textId="77777777" w:rsidR="00E74505" w:rsidRPr="00E74505" w:rsidRDefault="00E74505" w:rsidP="004D2E1A">
      <w:pPr>
        <w:pStyle w:val="Normlnweb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E74505">
        <w:rPr>
          <w:rFonts w:ascii="Tahoma" w:hAnsi="Tahoma" w:cs="Tahoma"/>
          <w:sz w:val="20"/>
          <w:szCs w:val="20"/>
        </w:rPr>
        <w:t>DPH … %</w:t>
      </w:r>
      <w:r w:rsidRPr="00E74505">
        <w:rPr>
          <w:rFonts w:ascii="Tahoma" w:hAnsi="Tahoma" w:cs="Tahoma"/>
          <w:sz w:val="20"/>
          <w:szCs w:val="20"/>
        </w:rPr>
        <w:tab/>
        <w:t>………… Kč</w:t>
      </w:r>
    </w:p>
    <w:p w14:paraId="07ED432C" w14:textId="77777777" w:rsidR="004D2E1A" w:rsidRDefault="00E74505" w:rsidP="004D2E1A">
      <w:pPr>
        <w:pStyle w:val="Normlnweb"/>
        <w:spacing w:before="0" w:beforeAutospacing="0" w:after="120" w:afterAutospacing="0"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E74505">
        <w:rPr>
          <w:rFonts w:ascii="Tahoma" w:hAnsi="Tahoma" w:cs="Tahoma"/>
          <w:sz w:val="20"/>
          <w:szCs w:val="20"/>
        </w:rPr>
        <w:t>včetně DPH</w:t>
      </w:r>
      <w:r w:rsidRPr="00E74505">
        <w:rPr>
          <w:rFonts w:ascii="Tahoma" w:hAnsi="Tahoma" w:cs="Tahoma"/>
          <w:sz w:val="20"/>
          <w:szCs w:val="20"/>
        </w:rPr>
        <w:tab/>
        <w:t xml:space="preserve">……… Kč </w:t>
      </w:r>
    </w:p>
    <w:p w14:paraId="551C95D2" w14:textId="6BCAEB46" w:rsidR="004D2E1A" w:rsidRPr="004D2E1A" w:rsidRDefault="004D2E1A" w:rsidP="00D76267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r w:rsidRPr="004D2E1A"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  <w:t xml:space="preserve">Kupní cena podle odst. 1 tohoto článku smlouvy zahrnuje veškeré náklady prodávajícího spojené se splněním jeho závazků vyplývajících z této smlouvy, tj. cenu zboží včetně dopravného, dokumentace, </w:t>
      </w:r>
      <w:r w:rsidRPr="004D2E1A"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  <w:lastRenderedPageBreak/>
        <w:t>instalace/montáže zboží, seznámení s obsluhou zboží a dalších souvisejících nákladů. Kupní cena je stanovena jako nejvýše přípustná a není ji možno překročit.</w:t>
      </w:r>
    </w:p>
    <w:p w14:paraId="26799F46" w14:textId="77777777"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22E00CC9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08573205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1426A9BC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A4A4274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DE4159B" w14:textId="1C49B4C7" w:rsidR="0097291D" w:rsidRDefault="002231CE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Pr="002231CE">
        <w:rPr>
          <w:rFonts w:ascii="Tahoma" w:hAnsi="Tahoma" w:cs="Tahoma"/>
          <w:sz w:val="20"/>
          <w:szCs w:val="20"/>
        </w:rPr>
        <w:t>upní cen</w:t>
      </w:r>
      <w:r>
        <w:rPr>
          <w:rFonts w:ascii="Tahoma" w:hAnsi="Tahoma" w:cs="Tahoma"/>
          <w:sz w:val="20"/>
          <w:szCs w:val="20"/>
        </w:rPr>
        <w:t>a</w:t>
      </w:r>
      <w:r w:rsidRPr="002231CE">
        <w:rPr>
          <w:rFonts w:ascii="Tahoma" w:hAnsi="Tahoma" w:cs="Tahoma"/>
          <w:sz w:val="20"/>
          <w:szCs w:val="20"/>
        </w:rPr>
        <w:t xml:space="preserve"> bude provedena jednorázově po odevzdání zboží dle čl. </w:t>
      </w:r>
      <w:r>
        <w:rPr>
          <w:rFonts w:ascii="Tahoma" w:hAnsi="Tahoma" w:cs="Tahoma"/>
          <w:sz w:val="20"/>
          <w:szCs w:val="20"/>
        </w:rPr>
        <w:t>IV</w:t>
      </w:r>
      <w:r w:rsidRPr="002231CE">
        <w:rPr>
          <w:rFonts w:ascii="Tahoma" w:hAnsi="Tahoma" w:cs="Tahoma"/>
          <w:sz w:val="20"/>
          <w:szCs w:val="20"/>
        </w:rPr>
        <w:t xml:space="preserve"> této smlouvy. Zálohové platby nebudou poskytovány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="00031C21" w:rsidRPr="00B035C3">
        <w:rPr>
          <w:rFonts w:ascii="Tahoma" w:hAnsi="Tahoma" w:cs="Tahoma"/>
          <w:sz w:val="20"/>
          <w:szCs w:val="20"/>
        </w:rPr>
        <w:t xml:space="preserve"> </w:t>
      </w:r>
    </w:p>
    <w:p w14:paraId="321DE7BA" w14:textId="77777777"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404F8D55" w14:textId="55EF0E2A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A21E0">
        <w:rPr>
          <w:rFonts w:ascii="Tahoma" w:hAnsi="Tahoma" w:cs="Tahoma"/>
          <w:b/>
          <w:sz w:val="20"/>
          <w:szCs w:val="20"/>
        </w:rPr>
        <w:t>PRO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8A21E0">
        <w:rPr>
          <w:rFonts w:ascii="Tahoma" w:hAnsi="Tahoma" w:cs="Tahoma"/>
          <w:b/>
          <w:sz w:val="20"/>
          <w:szCs w:val="20"/>
        </w:rPr>
        <w:t>6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6664E7">
        <w:rPr>
          <w:rFonts w:ascii="Tahoma" w:hAnsi="Tahoma" w:cs="Tahoma"/>
          <w:b/>
          <w:sz w:val="20"/>
          <w:szCs w:val="20"/>
        </w:rPr>
        <w:t>0</w:t>
      </w:r>
      <w:r w:rsidR="00B828E3">
        <w:rPr>
          <w:rFonts w:ascii="Tahoma" w:hAnsi="Tahoma" w:cs="Tahoma"/>
          <w:b/>
          <w:sz w:val="20"/>
          <w:szCs w:val="20"/>
        </w:rPr>
        <w:t>2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2B5DC1FE" w14:textId="3E4CD4D4" w:rsidR="00B91ED7" w:rsidRPr="002231CE" w:rsidRDefault="00B035C3" w:rsidP="002231CE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2231CE">
        <w:rPr>
          <w:rFonts w:ascii="Tahoma" w:hAnsi="Tahoma" w:cs="Tahoma"/>
          <w:sz w:val="20"/>
          <w:szCs w:val="20"/>
        </w:rPr>
        <w:t>.</w:t>
      </w:r>
    </w:p>
    <w:p w14:paraId="46E7FB33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4C9CA9C5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3129C707" w14:textId="77777777"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2AC536EE" w14:textId="77777777"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6AD904B3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229648BB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7A70F197" w14:textId="77777777" w:rsidR="00B035C3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59F12EE1" w14:textId="05993F8E" w:rsidR="004272CB" w:rsidRPr="004272CB" w:rsidRDefault="004272CB" w:rsidP="004272CB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4" w:name="_Hlk190684933"/>
      <w:r w:rsidRPr="004272CB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</w:t>
      </w:r>
      <w:r w:rsidRPr="004272CB">
        <w:rPr>
          <w:rFonts w:ascii="Tahoma" w:hAnsi="Tahoma" w:cs="Tahoma"/>
          <w:sz w:val="20"/>
          <w:szCs w:val="20"/>
        </w:rPr>
        <w:lastRenderedPageBreak/>
        <w:t>poměrnému navýšení o částku přesahující meziroční míru inflace nad uvedená 3 %. K případnému zvýšení smluvní ceny může dojít vždy k 1. březnu příslušného roku, počínaje rokem 202</w:t>
      </w:r>
      <w:r w:rsidR="00E15CEF">
        <w:rPr>
          <w:rFonts w:ascii="Tahoma" w:hAnsi="Tahoma" w:cs="Tahoma"/>
          <w:sz w:val="20"/>
          <w:szCs w:val="20"/>
        </w:rPr>
        <w:t>6</w:t>
      </w:r>
      <w:r w:rsidRPr="004272CB">
        <w:rPr>
          <w:rFonts w:ascii="Tahoma" w:hAnsi="Tahoma" w:cs="Tahoma"/>
          <w:sz w:val="20"/>
          <w:szCs w:val="20"/>
        </w:rPr>
        <w:t xml:space="preserve"> a dále </w:t>
      </w:r>
      <w:r w:rsidR="008A21E0">
        <w:rPr>
          <w:rFonts w:ascii="Tahoma" w:hAnsi="Tahoma" w:cs="Tahoma"/>
          <w:sz w:val="20"/>
          <w:szCs w:val="20"/>
        </w:rPr>
        <w:br/>
      </w:r>
      <w:r w:rsidRPr="004272CB">
        <w:rPr>
          <w:rFonts w:ascii="Tahoma" w:hAnsi="Tahoma" w:cs="Tahoma"/>
          <w:sz w:val="20"/>
          <w:szCs w:val="20"/>
        </w:rPr>
        <w:t xml:space="preserve">v každém roce trvání smlouvy, a to výhradně na základě písemného dodatku ke smlouvě podepsaného oběma smluvními stranami. Prodávající se zavazuje zaslat kupujícímu oznámení </w:t>
      </w:r>
      <w:r w:rsidR="008A21E0">
        <w:rPr>
          <w:rFonts w:ascii="Tahoma" w:hAnsi="Tahoma" w:cs="Tahoma"/>
          <w:sz w:val="20"/>
          <w:szCs w:val="20"/>
        </w:rPr>
        <w:br/>
      </w:r>
      <w:r w:rsidRPr="004272CB">
        <w:rPr>
          <w:rFonts w:ascii="Tahoma" w:hAnsi="Tahoma" w:cs="Tahoma"/>
          <w:sz w:val="20"/>
          <w:szCs w:val="20"/>
        </w:rPr>
        <w:t xml:space="preserve">o uplatnění této inflační doložky nejpozději do 31. 1. příslušného kalendářního roku, v opačném případě své právo na uzavření dodatku o navýšení kupní ceny za daný rok ztrácí. </w:t>
      </w:r>
    </w:p>
    <w:bookmarkEnd w:id="4"/>
    <w:p w14:paraId="14A065DA" w14:textId="77777777" w:rsidR="006664E7" w:rsidRPr="00633675" w:rsidRDefault="006664E7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</w:p>
    <w:p w14:paraId="6870163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2F101FE8" w14:textId="77777777" w:rsidR="00EE61B5" w:rsidRDefault="00EE61B5" w:rsidP="008A21E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18A4D369" w14:textId="77777777" w:rsidR="008A21E0" w:rsidRPr="002E01D8" w:rsidRDefault="008A21E0" w:rsidP="008A21E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4F2B9B" w14:textId="77777777" w:rsidR="00EE61B5" w:rsidRPr="00AB2206" w:rsidRDefault="002F6E42" w:rsidP="008A21E0">
      <w:pPr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48458A">
        <w:rPr>
          <w:rFonts w:ascii="Tahoma" w:hAnsi="Tahoma" w:cs="Tahoma"/>
          <w:sz w:val="20"/>
          <w:szCs w:val="20"/>
        </w:rPr>
        <w:t>spotřební materiál</w:t>
      </w:r>
      <w:r w:rsidRPr="00AB2206">
        <w:rPr>
          <w:rFonts w:ascii="Tahoma" w:hAnsi="Tahoma" w:cs="Tahoma"/>
          <w:sz w:val="20"/>
          <w:szCs w:val="20"/>
        </w:rPr>
        <w:t xml:space="preserve"> ve stanovené lhůtě</w:t>
      </w:r>
      <w:r w:rsidR="00653C49">
        <w:rPr>
          <w:rFonts w:ascii="Tahoma" w:hAnsi="Tahoma" w:cs="Tahoma"/>
          <w:sz w:val="20"/>
          <w:szCs w:val="20"/>
        </w:rPr>
        <w:t xml:space="preserve"> dle </w:t>
      </w:r>
      <w:r w:rsidR="0048458A">
        <w:rPr>
          <w:rFonts w:ascii="Tahoma" w:hAnsi="Tahoma" w:cs="Tahoma"/>
          <w:sz w:val="20"/>
          <w:szCs w:val="20"/>
        </w:rPr>
        <w:br/>
      </w:r>
      <w:r w:rsidR="00653C49">
        <w:rPr>
          <w:rFonts w:ascii="Tahoma" w:hAnsi="Tahoma" w:cs="Tahoma"/>
          <w:sz w:val="20"/>
          <w:szCs w:val="20"/>
        </w:rPr>
        <w:t xml:space="preserve">článku IV. </w:t>
      </w:r>
      <w:r w:rsidR="0042387F">
        <w:rPr>
          <w:rFonts w:ascii="Tahoma" w:hAnsi="Tahoma" w:cs="Tahoma"/>
          <w:sz w:val="20"/>
          <w:szCs w:val="20"/>
        </w:rPr>
        <w:t>odst.</w:t>
      </w:r>
      <w:r w:rsidR="00653C49">
        <w:rPr>
          <w:rFonts w:ascii="Tahoma" w:hAnsi="Tahoma" w:cs="Tahoma"/>
          <w:sz w:val="20"/>
          <w:szCs w:val="20"/>
        </w:rPr>
        <w:t xml:space="preserve"> 1.</w:t>
      </w:r>
      <w:r w:rsidR="0042387F">
        <w:rPr>
          <w:rFonts w:ascii="Tahoma" w:hAnsi="Tahoma" w:cs="Tahoma"/>
          <w:sz w:val="20"/>
          <w:szCs w:val="20"/>
        </w:rPr>
        <w:t xml:space="preserve"> této smlouvy</w:t>
      </w:r>
      <w:r w:rsidRPr="00AB2206">
        <w:rPr>
          <w:rFonts w:ascii="Tahoma" w:hAnsi="Tahoma" w:cs="Tahoma"/>
          <w:sz w:val="20"/>
          <w:szCs w:val="20"/>
        </w:rPr>
        <w:t xml:space="preserve">, je povinen zaplatit kupujícímu smluvní pokutu ve výši </w:t>
      </w:r>
      <w:r w:rsidR="008A21E0">
        <w:rPr>
          <w:rFonts w:ascii="Tahoma" w:hAnsi="Tahoma" w:cs="Tahoma"/>
          <w:sz w:val="20"/>
          <w:szCs w:val="20"/>
        </w:rPr>
        <w:br/>
      </w:r>
      <w:r w:rsidRPr="00AB2206">
        <w:rPr>
          <w:rFonts w:ascii="Tahoma" w:hAnsi="Tahoma" w:cs="Tahoma"/>
          <w:sz w:val="20"/>
          <w:szCs w:val="20"/>
        </w:rPr>
        <w:t>0,05 % z kupní ceny za každý započatý den prodlení</w:t>
      </w:r>
      <w:r w:rsidR="00653C49">
        <w:rPr>
          <w:rFonts w:ascii="Tahoma" w:hAnsi="Tahoma" w:cs="Tahoma"/>
          <w:sz w:val="20"/>
          <w:szCs w:val="20"/>
        </w:rPr>
        <w:t xml:space="preserve"> </w:t>
      </w:r>
      <w:r w:rsidR="00EE61B5" w:rsidRPr="00AB2206">
        <w:rPr>
          <w:rFonts w:ascii="Tahoma" w:hAnsi="Tahoma" w:cs="Tahoma"/>
          <w:sz w:val="20"/>
          <w:szCs w:val="20"/>
        </w:rPr>
        <w:t>včetně DPH.</w:t>
      </w:r>
    </w:p>
    <w:p w14:paraId="26487F39" w14:textId="77777777" w:rsidR="00EE61B5" w:rsidRPr="00AB2206" w:rsidRDefault="00EE61B5" w:rsidP="00BC571A">
      <w:pPr>
        <w:pStyle w:val="Odstavecseseznamem"/>
        <w:numPr>
          <w:ilvl w:val="0"/>
          <w:numId w:val="9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AB2206">
        <w:rPr>
          <w:rFonts w:ascii="Tahoma" w:hAnsi="Tahoma" w:cs="Tahoma"/>
          <w:sz w:val="20"/>
          <w:szCs w:val="20"/>
        </w:rPr>
        <w:t>v zákonem stanovené výši</w:t>
      </w:r>
      <w:r w:rsidR="00574C4E" w:rsidRPr="00AB220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AB2206">
        <w:rPr>
          <w:rFonts w:ascii="Tahoma" w:hAnsi="Tahoma" w:cs="Tahoma"/>
          <w:sz w:val="20"/>
          <w:szCs w:val="20"/>
        </w:rPr>
        <w:t>z dl</w:t>
      </w:r>
      <w:r w:rsidRPr="00AB2206">
        <w:rPr>
          <w:rFonts w:ascii="Tahoma" w:hAnsi="Tahoma" w:cs="Tahoma"/>
          <w:sz w:val="20"/>
          <w:szCs w:val="20"/>
        </w:rPr>
        <w:t>užné částky</w:t>
      </w:r>
      <w:r w:rsidR="00B21598">
        <w:rPr>
          <w:rFonts w:ascii="Tahoma" w:hAnsi="Tahoma" w:cs="Tahoma"/>
          <w:sz w:val="20"/>
          <w:szCs w:val="20"/>
        </w:rPr>
        <w:t>,</w:t>
      </w:r>
      <w:r w:rsidRPr="00AB2206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46458419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E99D7A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644B4ED3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381BD815" w14:textId="77777777" w:rsidR="008A21E0" w:rsidRDefault="008A21E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3D78E5" w14:textId="77777777" w:rsidR="00B035C3" w:rsidRPr="004F38B1" w:rsidRDefault="00B035C3" w:rsidP="008A21E0">
      <w:pPr>
        <w:pStyle w:val="Smlouva-slo"/>
        <w:numPr>
          <w:ilvl w:val="0"/>
          <w:numId w:val="22"/>
        </w:numPr>
        <w:spacing w:before="0"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</w:t>
      </w:r>
      <w:r w:rsidR="008A21E0">
        <w:rPr>
          <w:rFonts w:ascii="Tahoma" w:hAnsi="Tahoma" w:cs="Tahoma"/>
          <w:sz w:val="20"/>
        </w:rPr>
        <w:br/>
      </w:r>
      <w:r w:rsidRPr="004F38B1">
        <w:rPr>
          <w:rFonts w:ascii="Tahoma" w:hAnsi="Tahoma" w:cs="Tahoma"/>
          <w:sz w:val="20"/>
        </w:rPr>
        <w:t>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1453A5D0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680CCE03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</w:t>
      </w:r>
      <w:r w:rsidR="008A21E0">
        <w:rPr>
          <w:rFonts w:ascii="Tahoma" w:hAnsi="Tahoma" w:cs="Tahoma"/>
          <w:sz w:val="20"/>
        </w:rPr>
        <w:br/>
      </w:r>
      <w:r w:rsidRPr="004F38B1">
        <w:rPr>
          <w:rFonts w:ascii="Tahoma" w:hAnsi="Tahoma" w:cs="Tahoma"/>
          <w:sz w:val="20"/>
        </w:rPr>
        <w:t>a povinnosti zachovat důvěrnost informací souvisejících s plněním dle této smlouvy.</w:t>
      </w:r>
    </w:p>
    <w:p w14:paraId="4E4844CC" w14:textId="77777777"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45841BAD" w14:textId="77777777"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14:paraId="7826A651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7DC775E5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6802D7C9" w14:textId="77777777" w:rsidR="008A21E0" w:rsidRPr="00FC0380" w:rsidRDefault="008A21E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01D3520" w14:textId="77777777"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0B8BF72D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13963811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lastRenderedPageBreak/>
        <w:t>Zveřejnění smlouvy a metadat v registru smluv zajistí kupující.</w:t>
      </w:r>
    </w:p>
    <w:p w14:paraId="04F198EE" w14:textId="77777777"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43849124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C0F223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3815FD4F" w14:textId="77777777" w:rsidR="00EE61B5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3EA39C50" w14:textId="77777777" w:rsidR="008A21E0" w:rsidRPr="002E01D8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5B07006" w14:textId="6A8CB12E" w:rsidR="00EE61B5" w:rsidRDefault="00EE61B5" w:rsidP="00E15CEF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after="120"/>
        <w:ind w:left="284" w:hanging="284"/>
        <w:contextualSpacing w:val="0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Tato smlouva 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 xml:space="preserve">se uzavírá </w:t>
      </w:r>
      <w:r w:rsidR="00FD2C28" w:rsidRPr="00FD2C28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>na dobu určitou, a to</w:t>
      </w:r>
      <w:r w:rsidR="00E15CEF">
        <w:rPr>
          <w:rFonts w:ascii="Tahoma" w:eastAsia="Times New Roman" w:hAnsi="Tahoma" w:cs="Tahoma"/>
          <w:b/>
          <w:snapToGrid w:val="0"/>
          <w:kern w:val="0"/>
          <w:sz w:val="20"/>
          <w:szCs w:val="20"/>
          <w:lang w:eastAsia="cs-CZ" w:bidi="ar-SA"/>
        </w:rPr>
        <w:t xml:space="preserve"> do doby dodání předmětu plnění této smlouvy a uběhnutím záruční doby</w:t>
      </w:r>
      <w:r w:rsidR="00FD2C28" w:rsidRPr="00FD2C28"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.</w:t>
      </w:r>
    </w:p>
    <w:p w14:paraId="7CC64A2D" w14:textId="77777777" w:rsidR="00FD2C28" w:rsidRPr="00FD2C28" w:rsidRDefault="00FD2C28" w:rsidP="00D56315">
      <w:pPr>
        <w:pStyle w:val="Odstavecseseznamem"/>
        <w:numPr>
          <w:ilvl w:val="3"/>
          <w:numId w:val="9"/>
        </w:numPr>
        <w:tabs>
          <w:tab w:val="left" w:pos="360"/>
          <w:tab w:val="left" w:pos="426"/>
        </w:tabs>
        <w:spacing w:after="120"/>
        <w:ind w:left="284" w:hanging="284"/>
        <w:contextualSpacing w:val="0"/>
        <w:jc w:val="both"/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</w:pPr>
      <w:r>
        <w:rPr>
          <w:rFonts w:ascii="Tahoma" w:eastAsia="Times New Roman" w:hAnsi="Tahoma" w:cs="Tahoma"/>
          <w:snapToGrid w:val="0"/>
          <w:kern w:val="0"/>
          <w:sz w:val="20"/>
          <w:szCs w:val="20"/>
          <w:lang w:eastAsia="cs-CZ" w:bidi="ar-SA"/>
        </w:rPr>
        <w:t>Tato smlouva zaniká:</w:t>
      </w:r>
    </w:p>
    <w:p w14:paraId="5E18A2CC" w14:textId="77777777" w:rsidR="00EE61B5" w:rsidRPr="002E01D8" w:rsidRDefault="00EE61B5" w:rsidP="00D56315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722A4F16" w14:textId="77777777" w:rsidR="00EE61B5" w:rsidRPr="002E01D8" w:rsidRDefault="00EE61B5" w:rsidP="00D56315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  <w:r w:rsidR="00FD2C28">
        <w:rPr>
          <w:rFonts w:ascii="Tahoma" w:eastAsia="Calibri" w:hAnsi="Tahoma" w:cs="Tahoma"/>
          <w:sz w:val="20"/>
          <w:szCs w:val="20"/>
        </w:rPr>
        <w:t>:</w:t>
      </w:r>
    </w:p>
    <w:p w14:paraId="5C28FD2C" w14:textId="77777777" w:rsidR="00EE61B5" w:rsidRPr="002E01D8" w:rsidRDefault="00EE61B5" w:rsidP="00D56315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14:paraId="2B855654" w14:textId="77777777" w:rsidR="00EE61B5" w:rsidRPr="002E01D8" w:rsidRDefault="00EE61B5" w:rsidP="00D56315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354DAA16" w14:textId="77777777" w:rsidR="00EE61B5" w:rsidRPr="002E01D8" w:rsidRDefault="00EE61B5" w:rsidP="00D56315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7F82D219" w14:textId="77777777" w:rsidR="00574C4E" w:rsidRPr="00B035EC" w:rsidRDefault="00574C4E" w:rsidP="00434BAC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120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 xml:space="preserve">Písemnou výpovědí, kteroukoliv ze smluvních stran, výpovědní lhůta činí </w:t>
      </w:r>
      <w:r w:rsidR="00FD2C28">
        <w:rPr>
          <w:rFonts w:ascii="Tahoma" w:eastAsia="Calibri" w:hAnsi="Tahoma" w:cs="Tahoma"/>
          <w:sz w:val="20"/>
          <w:szCs w:val="20"/>
        </w:rPr>
        <w:t>2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měsíců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14:paraId="2FBB3668" w14:textId="77777777" w:rsidR="008A21E0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22EF2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233C7312" w14:textId="77777777" w:rsidR="00EE61B5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1174836" w14:textId="77777777" w:rsidR="008A21E0" w:rsidRPr="002E01D8" w:rsidRDefault="008A21E0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3A352E" w14:textId="77777777" w:rsidR="006B7646" w:rsidRPr="003D07FB" w:rsidRDefault="006B7646" w:rsidP="008A21E0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5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3516FF53" w14:textId="7653E019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 xml:space="preserve">Doplňování nebo změnu této smlouvy lze provádět jen se souhlasem obou smluvních stran, </w:t>
      </w:r>
      <w:r w:rsidR="00E15CEF">
        <w:rPr>
          <w:rFonts w:ascii="Tahoma" w:hAnsi="Tahoma" w:cs="Tahoma"/>
          <w:sz w:val="20"/>
          <w:szCs w:val="20"/>
        </w:rPr>
        <w:br/>
      </w:r>
      <w:r w:rsidRPr="00633675">
        <w:rPr>
          <w:rFonts w:ascii="Tahoma" w:hAnsi="Tahoma" w:cs="Tahoma"/>
          <w:sz w:val="20"/>
          <w:szCs w:val="20"/>
        </w:rPr>
        <w:t>a to pouze formou písemných, postupně číslovaných a takto označených dodatků.</w:t>
      </w:r>
    </w:p>
    <w:p w14:paraId="4E4DF648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1FEE0DE9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0A9870C0" w14:textId="77777777"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6" w:name="_Hlk82415956"/>
      <w:bookmarkEnd w:id="5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152A25B5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 xml:space="preserve"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</w:t>
      </w:r>
      <w:r w:rsidRPr="000241C5">
        <w:rPr>
          <w:rFonts w:ascii="Tahoma" w:hAnsi="Tahoma" w:cs="Tahoma"/>
          <w:sz w:val="20"/>
          <w:szCs w:val="22"/>
        </w:rPr>
        <w:lastRenderedPageBreak/>
        <w:t>případě bude tato smlouva vyhotovena v 1 elektronickém vyhotovení s platností originálu, na základě kterého, si v případě potřeby každá ze smluvních stran pořídí kopii v tištěné verzi.</w:t>
      </w:r>
    </w:p>
    <w:p w14:paraId="0CF54DD3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39B74C8D" w14:textId="77777777"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6"/>
    <w:p w14:paraId="4800A034" w14:textId="77777777"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5B0EC2B5" w14:textId="622A2FDE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E15CEF">
        <w:rPr>
          <w:rFonts w:ascii="Tahoma" w:hAnsi="Tahoma" w:cs="Tahoma"/>
          <w:sz w:val="20"/>
          <w:szCs w:val="22"/>
        </w:rPr>
        <w:t>Specifikace</w:t>
      </w:r>
    </w:p>
    <w:p w14:paraId="60506F18" w14:textId="77777777"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4586"/>
      </w:tblGrid>
      <w:tr w:rsidR="00D43E8E" w:rsidRPr="00633675" w14:paraId="32737167" w14:textId="77777777" w:rsidTr="00763000">
        <w:tc>
          <w:tcPr>
            <w:tcW w:w="4581" w:type="dxa"/>
          </w:tcPr>
          <w:p w14:paraId="08C2E7A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383DB5C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………</w:t>
            </w:r>
          </w:p>
        </w:tc>
      </w:tr>
      <w:tr w:rsidR="00D43E8E" w:rsidRPr="00633675" w14:paraId="3F6A5A80" w14:textId="77777777" w:rsidTr="00763000">
        <w:tc>
          <w:tcPr>
            <w:tcW w:w="4581" w:type="dxa"/>
          </w:tcPr>
          <w:p w14:paraId="11D25BA8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12EA56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B4C8D2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89097E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3DDB26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</w:t>
            </w:r>
          </w:p>
        </w:tc>
        <w:tc>
          <w:tcPr>
            <w:tcW w:w="4705" w:type="dxa"/>
          </w:tcPr>
          <w:p w14:paraId="140D195F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931FD0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384149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2D5560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312521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6E1EAF8C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A417FE7" w14:textId="77777777"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14:paraId="2DD48614" w14:textId="77777777"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070892"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D2879D8" w14:textId="6A1E4912" w:rsid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</w:t>
      </w:r>
      <w:r w:rsidR="00E15CEF">
        <w:rPr>
          <w:rFonts w:ascii="Tahoma" w:hAnsi="Tahoma" w:cs="Tahoma"/>
          <w:sz w:val="20"/>
          <w:szCs w:val="20"/>
          <w:u w:val="single"/>
        </w:rPr>
        <w:t>Specifikace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26E63904" w14:textId="6926237F" w:rsidR="00E15CEF" w:rsidRDefault="00E15CEF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3C4F51A2" w14:textId="77777777" w:rsidR="00E15CEF" w:rsidRPr="00E15CEF" w:rsidRDefault="00E15CEF" w:rsidP="00E15CEF">
      <w:pPr>
        <w:widowControl/>
        <w:suppressAutoHyphens w:val="0"/>
        <w:spacing w:after="8" w:line="267" w:lineRule="auto"/>
        <w:ind w:left="9" w:right="52" w:hanging="10"/>
        <w:jc w:val="both"/>
        <w:rPr>
          <w:rFonts w:ascii="Verdana" w:eastAsia="Verdana" w:hAnsi="Verdana" w:cs="Verdana"/>
          <w:b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b/>
          <w:color w:val="000000"/>
          <w:kern w:val="0"/>
          <w:sz w:val="18"/>
          <w:szCs w:val="22"/>
          <w:lang w:eastAsia="cs-CZ" w:bidi="ar-SA"/>
        </w:rPr>
        <w:t>Požadované technické parametry:</w:t>
      </w:r>
    </w:p>
    <w:p w14:paraId="49FB7B08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Pracovní retorta s možností: zapnutí / vypnutí tlaku a vakua, nastavení teploty do 60 °C, nastavení míchání.</w:t>
      </w:r>
    </w:p>
    <w:p w14:paraId="4FABD12D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Pracovní objem 3,5l pro 300 kazet / 2,7l pro 150 kazet.</w:t>
      </w:r>
    </w:p>
    <w:p w14:paraId="0D847B13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Prostor pro reagencie:</w:t>
      </w:r>
    </w:p>
    <w:p w14:paraId="2E724592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10 nádob pro roztoky pro zpracování (objem do 4,2l),</w:t>
      </w:r>
    </w:p>
    <w:p w14:paraId="70E3B852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2 nádoby pro čistící roztoky (objem do 4,2l),</w:t>
      </w:r>
    </w:p>
    <w:p w14:paraId="6B230A29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1 nádoba kondenzační,</w:t>
      </w:r>
    </w:p>
    <w:p w14:paraId="3A49C826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1 nádoba pro odpadní parafín,</w:t>
      </w:r>
    </w:p>
    <w:p w14:paraId="3B901A05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v průběhu zpracování,</w:t>
      </w:r>
    </w:p>
    <w:p w14:paraId="2242FED8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při výměně / posunu roztoků,</w:t>
      </w:r>
    </w:p>
    <w:p w14:paraId="7F3773D0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při mísení roztoků výměna reagencií manuální nebo automatická přes externí porty.</w:t>
      </w:r>
    </w:p>
    <w:p w14:paraId="0D63007B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Parafínová pec:</w:t>
      </w:r>
    </w:p>
    <w:p w14:paraId="2A16235C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 xml:space="preserve">nastavitelná teplota </w:t>
      </w:r>
      <w:proofErr w:type="gramStart"/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45 – 70</w:t>
      </w:r>
      <w:proofErr w:type="gramEnd"/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 xml:space="preserve"> °C,</w:t>
      </w:r>
    </w:p>
    <w:p w14:paraId="2E574E80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3 zásobníky pro cca 4,2l,</w:t>
      </w:r>
    </w:p>
    <w:p w14:paraId="666B4250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1 x zásobník pro cca 5,6l.</w:t>
      </w:r>
    </w:p>
    <w:p w14:paraId="3BDBF1A5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Uhlíkové filtry pro odtah výparů nebo možnost připojení na externí odsávání.</w:t>
      </w:r>
    </w:p>
    <w:p w14:paraId="7FD22712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Ovládání / software.</w:t>
      </w:r>
    </w:p>
    <w:p w14:paraId="3C31DF77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barevná dotyková obrazovka (10,4″),</w:t>
      </w:r>
    </w:p>
    <w:p w14:paraId="6056B0DE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uživatelem nastavitelné:</w:t>
      </w:r>
    </w:p>
    <w:p w14:paraId="78CC3047" w14:textId="77777777" w:rsidR="00E15CEF" w:rsidRPr="00E15CEF" w:rsidRDefault="00E15CEF" w:rsidP="00E15CEF">
      <w:pPr>
        <w:widowControl/>
        <w:numPr>
          <w:ilvl w:val="2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100 názvů roztoků</w:t>
      </w:r>
    </w:p>
    <w:p w14:paraId="4C6508C1" w14:textId="77777777" w:rsidR="00E15CEF" w:rsidRPr="00E15CEF" w:rsidRDefault="00E15CEF" w:rsidP="00E15CEF">
      <w:pPr>
        <w:widowControl/>
        <w:numPr>
          <w:ilvl w:val="2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5 konfigurací roztoků</w:t>
      </w:r>
    </w:p>
    <w:p w14:paraId="5B0DC2C8" w14:textId="77777777" w:rsidR="00E15CEF" w:rsidRPr="00E15CEF" w:rsidRDefault="00E15CEF" w:rsidP="00E15CEF">
      <w:pPr>
        <w:widowControl/>
        <w:numPr>
          <w:ilvl w:val="2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50 programů pro zpracování</w:t>
      </w:r>
    </w:p>
    <w:p w14:paraId="39F6575C" w14:textId="77777777" w:rsidR="00E15CEF" w:rsidRPr="00E15CEF" w:rsidRDefault="00E15CEF" w:rsidP="00E15CEF">
      <w:pPr>
        <w:widowControl/>
        <w:numPr>
          <w:ilvl w:val="2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9 programů pro míchání</w:t>
      </w:r>
    </w:p>
    <w:p w14:paraId="3A82430F" w14:textId="77777777" w:rsidR="00E15CEF" w:rsidRPr="00E15CEF" w:rsidRDefault="00E15CEF" w:rsidP="00E15CEF">
      <w:pPr>
        <w:widowControl/>
        <w:numPr>
          <w:ilvl w:val="2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3 čistící programy</w:t>
      </w:r>
    </w:p>
    <w:p w14:paraId="325359BC" w14:textId="77777777" w:rsidR="00E15CEF" w:rsidRPr="00E15CEF" w:rsidRDefault="00E15CEF" w:rsidP="00E15CEF">
      <w:pPr>
        <w:widowControl/>
        <w:numPr>
          <w:ilvl w:val="2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možnost odloženého startu</w:t>
      </w:r>
    </w:p>
    <w:p w14:paraId="42A65F7B" w14:textId="77777777" w:rsidR="00E15CEF" w:rsidRPr="00E15CEF" w:rsidRDefault="00E15CEF" w:rsidP="00E15CEF">
      <w:pPr>
        <w:widowControl/>
        <w:numPr>
          <w:ilvl w:val="2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možnost volby češtiny</w:t>
      </w:r>
    </w:p>
    <w:p w14:paraId="03A9D7E4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Hladinové senzory.</w:t>
      </w:r>
    </w:p>
    <w:p w14:paraId="25CBF004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Podsvícení prostoru s reagenčními nádobami.</w:t>
      </w:r>
    </w:p>
    <w:p w14:paraId="1BC3870C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Rozměry: 61 x 133 x 68 cm (š x v x h).</w:t>
      </w:r>
    </w:p>
    <w:p w14:paraId="372096AD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Hmotnost: 175 kg.</w:t>
      </w:r>
    </w:p>
    <w:p w14:paraId="784130FA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Napájecí napětí: 230 V, 50/60 Hz.</w:t>
      </w:r>
    </w:p>
    <w:p w14:paraId="7800E79E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8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Uživatelské rozhraní:</w:t>
      </w:r>
    </w:p>
    <w:p w14:paraId="55C2A1E4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5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USB port,</w:t>
      </w:r>
    </w:p>
    <w:p w14:paraId="26C98DA8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5" w:line="266" w:lineRule="auto"/>
        <w:ind w:left="1077" w:right="51" w:hanging="357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možnost připojení UPC,</w:t>
      </w:r>
    </w:p>
    <w:p w14:paraId="1D4C3A1A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5" w:line="266" w:lineRule="auto"/>
        <w:ind w:left="1077" w:right="51" w:hanging="357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možnost připojení k externímu alarmu,</w:t>
      </w:r>
    </w:p>
    <w:p w14:paraId="105DC9A5" w14:textId="77777777" w:rsidR="00E15CEF" w:rsidRPr="00E15CEF" w:rsidRDefault="00E15CEF" w:rsidP="00E15CEF">
      <w:pPr>
        <w:widowControl/>
        <w:numPr>
          <w:ilvl w:val="1"/>
          <w:numId w:val="38"/>
        </w:numPr>
        <w:suppressAutoHyphens w:val="0"/>
        <w:spacing w:after="5" w:line="266" w:lineRule="auto"/>
        <w:ind w:left="1077" w:right="51" w:hanging="357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dálková správa.</w:t>
      </w:r>
    </w:p>
    <w:p w14:paraId="790D7C61" w14:textId="77777777" w:rsidR="00E15CEF" w:rsidRPr="00E15CEF" w:rsidRDefault="00E15CEF" w:rsidP="00E15CEF">
      <w:pPr>
        <w:widowControl/>
        <w:numPr>
          <w:ilvl w:val="0"/>
          <w:numId w:val="38"/>
        </w:numPr>
        <w:suppressAutoHyphens w:val="0"/>
        <w:spacing w:after="5" w:line="267" w:lineRule="auto"/>
        <w:ind w:right="52"/>
        <w:contextualSpacing/>
        <w:jc w:val="both"/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</w:pPr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 xml:space="preserve">Provozní teplota, vlhkost, tlak: </w:t>
      </w:r>
      <w:proofErr w:type="gramStart"/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10 – 40</w:t>
      </w:r>
      <w:proofErr w:type="gramEnd"/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 xml:space="preserve"> °C, 70 – 85% bez kondenzace, 70 - 106 </w:t>
      </w:r>
      <w:proofErr w:type="spellStart"/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kPa</w:t>
      </w:r>
      <w:proofErr w:type="spellEnd"/>
      <w:r w:rsidRPr="00E15CEF">
        <w:rPr>
          <w:rFonts w:ascii="Verdana" w:eastAsia="Verdana" w:hAnsi="Verdana" w:cs="Verdana"/>
          <w:color w:val="000000"/>
          <w:kern w:val="0"/>
          <w:sz w:val="18"/>
          <w:szCs w:val="22"/>
          <w:lang w:eastAsia="cs-CZ" w:bidi="ar-SA"/>
        </w:rPr>
        <w:t>.</w:t>
      </w:r>
    </w:p>
    <w:p w14:paraId="772C9F31" w14:textId="77777777" w:rsidR="00E15CEF" w:rsidRPr="001E046B" w:rsidRDefault="00E15CEF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sectPr w:rsidR="00E15CEF" w:rsidRPr="001E046B" w:rsidSect="00E15CEF"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DE4BF" w14:textId="77777777" w:rsidR="00133BA8" w:rsidRDefault="00133BA8" w:rsidP="00CA4C3A">
      <w:r>
        <w:separator/>
      </w:r>
    </w:p>
  </w:endnote>
  <w:endnote w:type="continuationSeparator" w:id="0">
    <w:p w14:paraId="4604FE89" w14:textId="77777777" w:rsidR="00133BA8" w:rsidRDefault="00133BA8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0E656977" w14:textId="77777777" w:rsidR="00BD67D0" w:rsidRDefault="00133BA8" w:rsidP="00BD67D0">
            <w:pPr>
              <w:pStyle w:val="Zpat"/>
            </w:pPr>
            <w:r>
              <w:pict w14:anchorId="6D9127E9">
                <v:rect id="_x0000_i1025" style="width:0;height:1.5pt" o:hralign="center" o:hrstd="t" o:hr="t" fillcolor="#a0a0a0" stroked="f"/>
              </w:pict>
            </w:r>
          </w:p>
          <w:p w14:paraId="638BBD24" w14:textId="77777777" w:rsidR="00BD67D0" w:rsidRPr="00070892" w:rsidRDefault="00BD67D0">
            <w:pPr>
              <w:pStyle w:val="Zpat"/>
              <w:jc w:val="center"/>
              <w:rPr>
                <w:rFonts w:ascii="Tahoma" w:hAnsi="Tahoma" w:cs="Tahoma"/>
                <w:b/>
                <w:sz w:val="16"/>
                <w:szCs w:val="24"/>
              </w:rPr>
            </w:pPr>
            <w:r w:rsidRPr="00070892">
              <w:rPr>
                <w:rFonts w:ascii="Tahoma" w:hAnsi="Tahoma" w:cs="Tahoma"/>
                <w:sz w:val="16"/>
              </w:rPr>
              <w:t xml:space="preserve">Stránka 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begin"/>
            </w:r>
            <w:r w:rsidRPr="00070892">
              <w:rPr>
                <w:rFonts w:ascii="Tahoma" w:hAnsi="Tahoma" w:cs="Tahoma"/>
                <w:b/>
                <w:sz w:val="16"/>
              </w:rPr>
              <w:instrText>PAGE</w:instrTex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separate"/>
            </w:r>
            <w:r w:rsidR="00E5040F" w:rsidRPr="00070892">
              <w:rPr>
                <w:rFonts w:ascii="Tahoma" w:hAnsi="Tahoma" w:cs="Tahoma"/>
                <w:b/>
                <w:noProof/>
                <w:sz w:val="16"/>
              </w:rPr>
              <w:t>3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end"/>
            </w:r>
            <w:r w:rsidRPr="00070892">
              <w:rPr>
                <w:rFonts w:ascii="Tahoma" w:hAnsi="Tahoma" w:cs="Tahoma"/>
                <w:sz w:val="16"/>
              </w:rPr>
              <w:t xml:space="preserve"> z 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begin"/>
            </w:r>
            <w:r w:rsidRPr="00070892">
              <w:rPr>
                <w:rFonts w:ascii="Tahoma" w:hAnsi="Tahoma" w:cs="Tahoma"/>
                <w:b/>
                <w:sz w:val="16"/>
              </w:rPr>
              <w:instrText>NUMPAGES</w:instrTex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separate"/>
            </w:r>
            <w:r w:rsidR="00E5040F" w:rsidRPr="00070892">
              <w:rPr>
                <w:rFonts w:ascii="Tahoma" w:hAnsi="Tahoma" w:cs="Tahoma"/>
                <w:b/>
                <w:noProof/>
                <w:sz w:val="16"/>
              </w:rPr>
              <w:t>7</w:t>
            </w:r>
            <w:r w:rsidR="00AC2D91" w:rsidRPr="00070892">
              <w:rPr>
                <w:rFonts w:ascii="Tahoma" w:hAnsi="Tahoma" w:cs="Tahoma"/>
                <w:b/>
                <w:sz w:val="16"/>
                <w:szCs w:val="24"/>
              </w:rPr>
              <w:fldChar w:fldCharType="end"/>
            </w:r>
          </w:p>
          <w:p w14:paraId="02E3EFCA" w14:textId="3EDC5F0B"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OPA/</w:t>
            </w:r>
            <w:r w:rsidR="00070892">
              <w:rPr>
                <w:rFonts w:ascii="Tahoma" w:hAnsi="Tahoma" w:cs="Tahoma"/>
                <w:sz w:val="16"/>
                <w:szCs w:val="20"/>
              </w:rPr>
              <w:t>PRO</w:t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/202</w:t>
            </w:r>
            <w:r w:rsidR="00070892">
              <w:rPr>
                <w:rFonts w:ascii="Tahoma" w:hAnsi="Tahoma" w:cs="Tahoma"/>
                <w:sz w:val="16"/>
                <w:szCs w:val="20"/>
              </w:rPr>
              <w:t>6</w:t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/</w:t>
            </w:r>
            <w:r w:rsidR="00F45122" w:rsidRPr="00070892">
              <w:rPr>
                <w:rFonts w:ascii="Tahoma" w:hAnsi="Tahoma" w:cs="Tahoma"/>
                <w:sz w:val="16"/>
                <w:szCs w:val="20"/>
              </w:rPr>
              <w:t>0</w:t>
            </w:r>
            <w:r w:rsidR="00B828E3">
              <w:rPr>
                <w:rFonts w:ascii="Tahoma" w:hAnsi="Tahoma" w:cs="Tahoma"/>
                <w:sz w:val="16"/>
                <w:szCs w:val="20"/>
              </w:rPr>
              <w:t>2</w:t>
            </w:r>
            <w:r w:rsidR="007133E4" w:rsidRPr="00070892">
              <w:rPr>
                <w:rFonts w:ascii="Tahoma" w:hAnsi="Tahoma" w:cs="Tahoma"/>
                <w:sz w:val="16"/>
                <w:szCs w:val="20"/>
              </w:rPr>
              <w:t>/</w:t>
            </w:r>
            <w:proofErr w:type="spellStart"/>
            <w:r w:rsidR="00B828E3">
              <w:rPr>
                <w:rFonts w:ascii="Tahoma" w:hAnsi="Tahoma" w:cs="Tahoma"/>
                <w:sz w:val="16"/>
                <w:szCs w:val="20"/>
              </w:rPr>
              <w:t>tkanovy_procesor</w:t>
            </w:r>
            <w:proofErr w:type="spellEnd"/>
          </w:p>
          <w:p w14:paraId="7D72C676" w14:textId="77777777" w:rsidR="00BD67D0" w:rsidRDefault="00133BA8">
            <w:pPr>
              <w:pStyle w:val="Zpat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0712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0D1511" w14:textId="77777777" w:rsidR="00070892" w:rsidRPr="0039086C" w:rsidRDefault="00070892">
            <w:pPr>
              <w:pStyle w:val="Zpat"/>
              <w:jc w:val="center"/>
              <w:rPr>
                <w:rFonts w:ascii="Tahoma" w:hAnsi="Tahoma" w:cs="Tahoma"/>
                <w:b/>
                <w:bCs/>
                <w:sz w:val="16"/>
                <w:szCs w:val="24"/>
              </w:rPr>
            </w:pPr>
            <w:r w:rsidRPr="0039086C">
              <w:rPr>
                <w:rFonts w:ascii="Tahoma" w:hAnsi="Tahoma" w:cs="Tahoma"/>
                <w:sz w:val="16"/>
              </w:rPr>
              <w:t xml:space="preserve">Stránka 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begin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instrText>PAGE</w:instrTex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separate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t>2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end"/>
            </w:r>
            <w:r w:rsidRPr="0039086C">
              <w:rPr>
                <w:rFonts w:ascii="Tahoma" w:hAnsi="Tahoma" w:cs="Tahoma"/>
                <w:sz w:val="16"/>
              </w:rPr>
              <w:t xml:space="preserve"> z 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begin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instrText>NUMPAGES</w:instrTex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separate"/>
            </w:r>
            <w:r w:rsidRPr="0039086C">
              <w:rPr>
                <w:rFonts w:ascii="Tahoma" w:hAnsi="Tahoma" w:cs="Tahoma"/>
                <w:b/>
                <w:bCs/>
                <w:sz w:val="16"/>
              </w:rPr>
              <w:t>2</w:t>
            </w:r>
            <w:r w:rsidRPr="0039086C">
              <w:rPr>
                <w:rFonts w:ascii="Tahoma" w:hAnsi="Tahoma" w:cs="Tahoma"/>
                <w:b/>
                <w:bCs/>
                <w:sz w:val="16"/>
                <w:szCs w:val="24"/>
              </w:rPr>
              <w:fldChar w:fldCharType="end"/>
            </w:r>
          </w:p>
          <w:p w14:paraId="54EDECDD" w14:textId="700FA275" w:rsidR="00070892" w:rsidRDefault="00070892" w:rsidP="00070892">
            <w:pPr>
              <w:pStyle w:val="Zpat"/>
              <w:jc w:val="right"/>
            </w:pPr>
            <w:r w:rsidRPr="00070892">
              <w:rPr>
                <w:rFonts w:ascii="Tahoma" w:hAnsi="Tahoma" w:cs="Tahoma"/>
                <w:sz w:val="16"/>
              </w:rPr>
              <w:t>OPA/PRO/2026/0</w:t>
            </w:r>
            <w:r w:rsidR="00E74505">
              <w:rPr>
                <w:rFonts w:ascii="Tahoma" w:hAnsi="Tahoma" w:cs="Tahoma"/>
                <w:sz w:val="16"/>
              </w:rPr>
              <w:t>2</w:t>
            </w:r>
            <w:r w:rsidRPr="00070892">
              <w:rPr>
                <w:rFonts w:ascii="Tahoma" w:hAnsi="Tahoma" w:cs="Tahoma"/>
                <w:sz w:val="16"/>
              </w:rPr>
              <w:t>/</w:t>
            </w:r>
            <w:proofErr w:type="spellStart"/>
            <w:r w:rsidR="00E74505">
              <w:rPr>
                <w:rFonts w:ascii="Tahoma" w:hAnsi="Tahoma" w:cs="Tahoma"/>
                <w:sz w:val="16"/>
              </w:rPr>
              <w:t>tkanovy_proces</w:t>
            </w:r>
            <w:proofErr w:type="spellEnd"/>
            <w:r w:rsidR="00E74505"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7EDDC" w14:textId="77777777" w:rsidR="00133BA8" w:rsidRDefault="00133BA8" w:rsidP="00CA4C3A">
      <w:r>
        <w:separator/>
      </w:r>
    </w:p>
  </w:footnote>
  <w:footnote w:type="continuationSeparator" w:id="0">
    <w:p w14:paraId="761B50F6" w14:textId="77777777" w:rsidR="00133BA8" w:rsidRDefault="00133BA8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41207" w14:textId="7D4F71D2" w:rsidR="00C971D6" w:rsidRDefault="00C971D6">
    <w:pPr>
      <w:pStyle w:val="Zhlav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430B2"/>
    <w:multiLevelType w:val="hybridMultilevel"/>
    <w:tmpl w:val="EE946654"/>
    <w:lvl w:ilvl="0" w:tplc="E44CE7F0">
      <w:start w:val="1"/>
      <w:numFmt w:val="bullet"/>
      <w:lvlText w:val="-"/>
      <w:lvlJc w:val="left"/>
      <w:pPr>
        <w:ind w:left="359" w:hanging="36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4F81BD" w:themeColor="accent1"/>
        <w:sz w:val="20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62E70"/>
    <w:multiLevelType w:val="hybridMultilevel"/>
    <w:tmpl w:val="8FFC24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683539D"/>
    <w:multiLevelType w:val="hybridMultilevel"/>
    <w:tmpl w:val="F1169A84"/>
    <w:lvl w:ilvl="0" w:tplc="4AA8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94400"/>
    <w:multiLevelType w:val="hybridMultilevel"/>
    <w:tmpl w:val="C70EE9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44E03"/>
    <w:multiLevelType w:val="hybridMultilevel"/>
    <w:tmpl w:val="052C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B588B"/>
    <w:multiLevelType w:val="hybridMultilevel"/>
    <w:tmpl w:val="36BAE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FEE1C8F"/>
    <w:multiLevelType w:val="hybridMultilevel"/>
    <w:tmpl w:val="873E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7"/>
  </w:num>
  <w:num w:numId="14">
    <w:abstractNumId w:val="13"/>
  </w:num>
  <w:num w:numId="15">
    <w:abstractNumId w:val="26"/>
  </w:num>
  <w:num w:numId="16">
    <w:abstractNumId w:val="0"/>
  </w:num>
  <w:num w:numId="17">
    <w:abstractNumId w:val="15"/>
  </w:num>
  <w:num w:numId="18">
    <w:abstractNumId w:val="33"/>
  </w:num>
  <w:num w:numId="19">
    <w:abstractNumId w:val="32"/>
  </w:num>
  <w:num w:numId="20">
    <w:abstractNumId w:val="16"/>
  </w:num>
  <w:num w:numId="21">
    <w:abstractNumId w:val="11"/>
  </w:num>
  <w:num w:numId="22">
    <w:abstractNumId w:val="24"/>
  </w:num>
  <w:num w:numId="23">
    <w:abstractNumId w:val="23"/>
  </w:num>
  <w:num w:numId="24">
    <w:abstractNumId w:val="29"/>
  </w:num>
  <w:num w:numId="25">
    <w:abstractNumId w:val="30"/>
  </w:num>
  <w:num w:numId="26">
    <w:abstractNumId w:val="25"/>
  </w:num>
  <w:num w:numId="27">
    <w:abstractNumId w:val="20"/>
  </w:num>
  <w:num w:numId="28">
    <w:abstractNumId w:val="0"/>
  </w:num>
  <w:num w:numId="29">
    <w:abstractNumId w:val="21"/>
  </w:num>
  <w:num w:numId="30">
    <w:abstractNumId w:val="1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1"/>
  </w:num>
  <w:num w:numId="35">
    <w:abstractNumId w:val="22"/>
  </w:num>
  <w:num w:numId="36">
    <w:abstractNumId w:val="34"/>
  </w:num>
  <w:num w:numId="37">
    <w:abstractNumId w:val="1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6B69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892"/>
    <w:rsid w:val="00070B1F"/>
    <w:rsid w:val="0007174A"/>
    <w:rsid w:val="000725E7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BA8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87A45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16C4E"/>
    <w:rsid w:val="00217295"/>
    <w:rsid w:val="002231CE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46AB8"/>
    <w:rsid w:val="0025428F"/>
    <w:rsid w:val="00254855"/>
    <w:rsid w:val="00271DE7"/>
    <w:rsid w:val="0027777F"/>
    <w:rsid w:val="0028305C"/>
    <w:rsid w:val="00283F33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4881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60FC2"/>
    <w:rsid w:val="00362B19"/>
    <w:rsid w:val="0036426A"/>
    <w:rsid w:val="0037578F"/>
    <w:rsid w:val="00376394"/>
    <w:rsid w:val="0037660F"/>
    <w:rsid w:val="0038306C"/>
    <w:rsid w:val="003856F4"/>
    <w:rsid w:val="00385DFA"/>
    <w:rsid w:val="0039086C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AB2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272CB"/>
    <w:rsid w:val="00432415"/>
    <w:rsid w:val="00433B01"/>
    <w:rsid w:val="00434BAC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5E9D"/>
    <w:rsid w:val="00477923"/>
    <w:rsid w:val="00480839"/>
    <w:rsid w:val="00481B90"/>
    <w:rsid w:val="00482405"/>
    <w:rsid w:val="0048458A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2E1A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5664"/>
    <w:rsid w:val="00665861"/>
    <w:rsid w:val="006664E7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804BED"/>
    <w:rsid w:val="0080641E"/>
    <w:rsid w:val="00812035"/>
    <w:rsid w:val="00812C01"/>
    <w:rsid w:val="00812FC0"/>
    <w:rsid w:val="00814050"/>
    <w:rsid w:val="008140AD"/>
    <w:rsid w:val="00815E84"/>
    <w:rsid w:val="00823A22"/>
    <w:rsid w:val="00825A83"/>
    <w:rsid w:val="008268B6"/>
    <w:rsid w:val="008325E5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20A2"/>
    <w:rsid w:val="00892AE2"/>
    <w:rsid w:val="0089308B"/>
    <w:rsid w:val="00897A5C"/>
    <w:rsid w:val="008A03C5"/>
    <w:rsid w:val="008A21E0"/>
    <w:rsid w:val="008A2679"/>
    <w:rsid w:val="008A4116"/>
    <w:rsid w:val="008B3248"/>
    <w:rsid w:val="008B3B29"/>
    <w:rsid w:val="008B43C3"/>
    <w:rsid w:val="008B588D"/>
    <w:rsid w:val="008B6FDF"/>
    <w:rsid w:val="008C5935"/>
    <w:rsid w:val="008D3E46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29C3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1633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E71C6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1598"/>
    <w:rsid w:val="00B2532C"/>
    <w:rsid w:val="00B27009"/>
    <w:rsid w:val="00B274F9"/>
    <w:rsid w:val="00B27880"/>
    <w:rsid w:val="00B278B8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828E3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1B85"/>
    <w:rsid w:val="00BC571A"/>
    <w:rsid w:val="00BC601B"/>
    <w:rsid w:val="00BC6576"/>
    <w:rsid w:val="00BD29E4"/>
    <w:rsid w:val="00BD2A11"/>
    <w:rsid w:val="00BD58B7"/>
    <w:rsid w:val="00BD67D0"/>
    <w:rsid w:val="00BD6C85"/>
    <w:rsid w:val="00BD79B7"/>
    <w:rsid w:val="00BE40A8"/>
    <w:rsid w:val="00BE5882"/>
    <w:rsid w:val="00BE750C"/>
    <w:rsid w:val="00BF4BB2"/>
    <w:rsid w:val="00BF5478"/>
    <w:rsid w:val="00C001BF"/>
    <w:rsid w:val="00C00975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24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971D6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56315"/>
    <w:rsid w:val="00D64DB7"/>
    <w:rsid w:val="00D650A4"/>
    <w:rsid w:val="00D70E41"/>
    <w:rsid w:val="00D7121F"/>
    <w:rsid w:val="00D7153E"/>
    <w:rsid w:val="00D755AE"/>
    <w:rsid w:val="00D76267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49E4"/>
    <w:rsid w:val="00E15565"/>
    <w:rsid w:val="00E15CEF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74505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3DC1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C3B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512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2C28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2D82"/>
  <w15:docId w15:val="{1FE56788-B104-4076-8714-DC12A1D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4505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450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949BC5-C8E6-4618-A632-AA059893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2295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Ing. Marie Prokšová</cp:lastModifiedBy>
  <cp:revision>6</cp:revision>
  <cp:lastPrinted>2024-06-13T07:59:00Z</cp:lastPrinted>
  <dcterms:created xsi:type="dcterms:W3CDTF">2026-01-09T09:24:00Z</dcterms:created>
  <dcterms:modified xsi:type="dcterms:W3CDTF">2026-01-09T10:42:00Z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