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256A4" w14:textId="77777777"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14:paraId="2142856E" w14:textId="77777777"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14:paraId="10059B1D" w14:textId="77777777"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14:paraId="421C6C52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77455E3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250FC5F9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14:paraId="692AB97F" w14:textId="07DF1D85"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="007F628F">
        <w:rPr>
          <w:rFonts w:ascii="Tahoma" w:eastAsia="Calibri" w:hAnsi="Tahoma" w:cs="Tahoma"/>
          <w:bCs w:val="0"/>
          <w:sz w:val="20"/>
          <w:szCs w:val="20"/>
        </w:rPr>
        <w:t>Moravskoslezská nemocnice Opava</w:t>
      </w:r>
      <w:r w:rsidRPr="002E01D8">
        <w:rPr>
          <w:rFonts w:ascii="Tahoma" w:eastAsia="Calibri" w:hAnsi="Tahoma" w:cs="Tahoma"/>
          <w:bCs w:val="0"/>
          <w:sz w:val="20"/>
          <w:szCs w:val="20"/>
        </w:rPr>
        <w:t>, příspěvková organizace</w:t>
      </w:r>
    </w:p>
    <w:p w14:paraId="271B2763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14:paraId="57C2CA2B" w14:textId="77777777" w:rsidR="008325E5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8325E5">
        <w:rPr>
          <w:rFonts w:ascii="Tahoma" w:hAnsi="Tahoma" w:cs="Tahoma"/>
          <w:sz w:val="20"/>
          <w:szCs w:val="22"/>
        </w:rPr>
        <w:t xml:space="preserve"> </w:t>
      </w:r>
    </w:p>
    <w:p w14:paraId="66D2BF37" w14:textId="77777777" w:rsidR="0046140A" w:rsidRDefault="008325E5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  <w:t>ve věcech smluvních</w:t>
      </w:r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="0046140A"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14:paraId="3DFE9AE4" w14:textId="77777777" w:rsidR="008325E5" w:rsidRPr="00633675" w:rsidRDefault="008325E5" w:rsidP="008325E5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  <w:t>ve věcech technických:</w:t>
      </w:r>
      <w:r>
        <w:rPr>
          <w:rFonts w:ascii="Tahoma" w:hAnsi="Tahoma" w:cs="Tahoma"/>
          <w:sz w:val="20"/>
          <w:szCs w:val="22"/>
        </w:rPr>
        <w:tab/>
        <w:t>prim. Vladimírem Kurfürstem</w:t>
      </w:r>
    </w:p>
    <w:p w14:paraId="6B88E49B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14:paraId="7DB70EF5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DIČ:</w:t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  <w:t>C</w:t>
      </w:r>
      <w:r w:rsidRPr="008E52BF">
        <w:rPr>
          <w:rFonts w:ascii="Tahoma" w:hAnsi="Tahoma" w:cs="Tahoma"/>
          <w:sz w:val="20"/>
          <w:szCs w:val="22"/>
        </w:rPr>
        <w:t>Z47813750</w:t>
      </w:r>
    </w:p>
    <w:p w14:paraId="72C5C88F" w14:textId="77777777"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14:paraId="28AC0405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14:paraId="6A230736" w14:textId="77777777"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KS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14:paraId="5CD882D3" w14:textId="77777777"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14:paraId="791FBB2E" w14:textId="77777777" w:rsidR="0005564B" w:rsidRPr="0084491F" w:rsidRDefault="0005564B" w:rsidP="00DC77B0">
      <w:pPr>
        <w:pStyle w:val="Normlnweb"/>
        <w:spacing w:line="276" w:lineRule="auto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14:paraId="515CCE71" w14:textId="77777777"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(název společnosti doplní účastník ZŘ)</w:t>
      </w:r>
    </w:p>
    <w:p w14:paraId="7068B345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7BB23F52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0034244E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ab/>
      </w:r>
      <w:bookmarkStart w:id="2" w:name="_Hlk82416148"/>
      <w:r w:rsidRPr="007C0279">
        <w:rPr>
          <w:rFonts w:ascii="Tahoma" w:hAnsi="Tahoma" w:cs="Tahoma"/>
          <w:sz w:val="20"/>
          <w:szCs w:val="22"/>
          <w:highlight w:val="yellow"/>
        </w:rPr>
        <w:t>ve věcech smluvních</w:t>
      </w:r>
      <w:bookmarkEnd w:id="2"/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6B616D05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13A04ADD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0764AD52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3C59DCA2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5E721561" w14:textId="77777777"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soudem v ……………, oddíl …, vložka …</w:t>
      </w:r>
    </w:p>
    <w:p w14:paraId="59AB24F8" w14:textId="77777777"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14:paraId="15B62C2B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8C91A95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260D7902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DE80203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14:paraId="78A22772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FD03214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11E183B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2A949016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20687130" w14:textId="77777777" w:rsidR="0046140A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14:paraId="61CB0611" w14:textId="77777777" w:rsidR="00070892" w:rsidRDefault="00070892" w:rsidP="00070892">
      <w:pPr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44B4ACE4" w14:textId="77777777" w:rsidR="00070892" w:rsidRPr="002E01D8" w:rsidRDefault="00070892" w:rsidP="00070892">
      <w:pPr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62598430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lastRenderedPageBreak/>
        <w:t>III.</w:t>
      </w:r>
    </w:p>
    <w:p w14:paraId="1F310BB8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379B42FF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A661078" w14:textId="77777777" w:rsidR="00AC45F4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je uzavřena na základě výsledku veřejné zakázky s názvem „</w:t>
      </w:r>
      <w:r w:rsidR="00F45122">
        <w:rPr>
          <w:rFonts w:ascii="Tahoma" w:hAnsi="Tahoma" w:cs="Tahoma"/>
          <w:b/>
          <w:sz w:val="20"/>
          <w:szCs w:val="20"/>
        </w:rPr>
        <w:t xml:space="preserve">Výpůjčka </w:t>
      </w:r>
      <w:r w:rsidR="00EE3DC1">
        <w:rPr>
          <w:rFonts w:ascii="Tahoma" w:hAnsi="Tahoma" w:cs="Tahoma"/>
          <w:b/>
          <w:sz w:val="20"/>
          <w:szCs w:val="20"/>
        </w:rPr>
        <w:t xml:space="preserve">2 ks </w:t>
      </w:r>
      <w:r w:rsidR="00070892">
        <w:rPr>
          <w:rFonts w:ascii="Tahoma" w:hAnsi="Tahoma" w:cs="Tahoma"/>
          <w:b/>
          <w:sz w:val="20"/>
          <w:szCs w:val="20"/>
        </w:rPr>
        <w:t>elektrochirurgických jednotek</w:t>
      </w:r>
      <w:r w:rsidR="00EE3DC1">
        <w:rPr>
          <w:rFonts w:ascii="Tahoma" w:hAnsi="Tahoma" w:cs="Tahoma"/>
          <w:b/>
          <w:sz w:val="20"/>
          <w:szCs w:val="20"/>
        </w:rPr>
        <w:t xml:space="preserve"> </w:t>
      </w:r>
      <w:r w:rsidR="00F45122">
        <w:rPr>
          <w:rFonts w:ascii="Tahoma" w:hAnsi="Tahoma" w:cs="Tahoma"/>
          <w:b/>
          <w:sz w:val="20"/>
          <w:szCs w:val="20"/>
        </w:rPr>
        <w:t>včetně dodáv</w:t>
      </w:r>
      <w:r w:rsidR="00EE3DC1">
        <w:rPr>
          <w:rFonts w:ascii="Tahoma" w:hAnsi="Tahoma" w:cs="Tahoma"/>
          <w:b/>
          <w:sz w:val="20"/>
          <w:szCs w:val="20"/>
        </w:rPr>
        <w:t>e</w:t>
      </w:r>
      <w:r w:rsidR="00F45122">
        <w:rPr>
          <w:rFonts w:ascii="Tahoma" w:hAnsi="Tahoma" w:cs="Tahoma"/>
          <w:b/>
          <w:sz w:val="20"/>
          <w:szCs w:val="20"/>
        </w:rPr>
        <w:t>k spotřebního materiálu</w:t>
      </w:r>
      <w:r w:rsidR="00B35F85">
        <w:rPr>
          <w:rFonts w:ascii="Tahoma" w:hAnsi="Tahoma" w:cs="Tahoma"/>
          <w:b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.</w:t>
      </w:r>
    </w:p>
    <w:p w14:paraId="1892B1A6" w14:textId="77777777" w:rsidR="00AC45F4" w:rsidRPr="00EE3DC1" w:rsidRDefault="00AC45F4" w:rsidP="00EE3DC1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plnění dle této smlouvy j</w:t>
      </w:r>
      <w:r w:rsidR="000654E0">
        <w:rPr>
          <w:rFonts w:ascii="Tahoma" w:hAnsi="Tahoma" w:cs="Tahoma"/>
          <w:sz w:val="20"/>
          <w:szCs w:val="20"/>
        </w:rPr>
        <w:t xml:space="preserve">e </w:t>
      </w:r>
      <w:r w:rsidR="00914A6C" w:rsidRPr="00CE5772">
        <w:rPr>
          <w:rFonts w:ascii="Tahoma" w:hAnsi="Tahoma"/>
          <w:sz w:val="20"/>
          <w:szCs w:val="20"/>
        </w:rPr>
        <w:t xml:space="preserve">zajištění kompletních opakovaných </w:t>
      </w:r>
      <w:r w:rsidR="00914A6C" w:rsidRPr="00CE5772">
        <w:rPr>
          <w:rFonts w:ascii="Tahoma" w:hAnsi="Tahoma"/>
          <w:b/>
          <w:sz w:val="20"/>
          <w:szCs w:val="20"/>
        </w:rPr>
        <w:t xml:space="preserve">dodávek </w:t>
      </w:r>
      <w:r w:rsidR="00F45122">
        <w:rPr>
          <w:rFonts w:ascii="Tahoma" w:hAnsi="Tahoma"/>
          <w:b/>
          <w:sz w:val="20"/>
          <w:szCs w:val="20"/>
        </w:rPr>
        <w:t xml:space="preserve">specifického spotřebního materiálu </w:t>
      </w:r>
      <w:r w:rsidR="00B35F85" w:rsidRPr="00EE3DC1">
        <w:rPr>
          <w:rFonts w:ascii="Tahoma" w:hAnsi="Tahoma"/>
          <w:sz w:val="20"/>
          <w:szCs w:val="20"/>
        </w:rPr>
        <w:t xml:space="preserve">po dobu </w:t>
      </w:r>
      <w:r w:rsidR="00070892">
        <w:rPr>
          <w:rFonts w:ascii="Tahoma" w:hAnsi="Tahoma"/>
          <w:sz w:val="20"/>
          <w:szCs w:val="20"/>
        </w:rPr>
        <w:t>2</w:t>
      </w:r>
      <w:r w:rsidR="00914A6C" w:rsidRPr="00EE3DC1">
        <w:rPr>
          <w:rFonts w:ascii="Tahoma" w:hAnsi="Tahoma"/>
          <w:sz w:val="20"/>
          <w:szCs w:val="20"/>
        </w:rPr>
        <w:t xml:space="preserve"> let</w:t>
      </w:r>
      <w:r w:rsidR="000654E0" w:rsidRPr="00EE3DC1">
        <w:rPr>
          <w:rFonts w:ascii="Tahoma" w:hAnsi="Tahoma"/>
          <w:sz w:val="20"/>
          <w:szCs w:val="20"/>
        </w:rPr>
        <w:t xml:space="preserve"> </w:t>
      </w:r>
      <w:r w:rsidRPr="00EE3DC1">
        <w:rPr>
          <w:rFonts w:ascii="Tahoma" w:hAnsi="Tahoma" w:cs="Tahoma"/>
          <w:sz w:val="20"/>
          <w:szCs w:val="20"/>
        </w:rPr>
        <w:t>um</w:t>
      </w:r>
      <w:r w:rsidR="00DC77B0" w:rsidRPr="00EE3DC1">
        <w:rPr>
          <w:rFonts w:ascii="Tahoma" w:hAnsi="Tahoma" w:cs="Tahoma"/>
          <w:sz w:val="20"/>
          <w:szCs w:val="20"/>
        </w:rPr>
        <w:t>o</w:t>
      </w:r>
      <w:r w:rsidRPr="00EE3DC1">
        <w:rPr>
          <w:rFonts w:ascii="Tahoma" w:hAnsi="Tahoma" w:cs="Tahoma"/>
          <w:sz w:val="20"/>
          <w:szCs w:val="20"/>
        </w:rPr>
        <w:t>žňující</w:t>
      </w:r>
      <w:r w:rsidR="000654E0" w:rsidRPr="00EE3DC1">
        <w:rPr>
          <w:rFonts w:ascii="Tahoma" w:hAnsi="Tahoma" w:cs="Tahoma"/>
          <w:sz w:val="20"/>
          <w:szCs w:val="20"/>
        </w:rPr>
        <w:t>ch</w:t>
      </w:r>
      <w:r w:rsidRPr="00EE3DC1">
        <w:rPr>
          <w:rFonts w:ascii="Tahoma" w:hAnsi="Tahoma" w:cs="Tahoma"/>
          <w:sz w:val="20"/>
          <w:szCs w:val="20"/>
        </w:rPr>
        <w:t xml:space="preserve"> kompletní provedení v</w:t>
      </w:r>
      <w:r w:rsidR="00070892">
        <w:rPr>
          <w:rFonts w:ascii="Tahoma" w:hAnsi="Tahoma" w:cs="Tahoma"/>
          <w:sz w:val="20"/>
          <w:szCs w:val="20"/>
        </w:rPr>
        <w:t>ýkonů</w:t>
      </w:r>
      <w:r w:rsidR="000654E0" w:rsidRPr="00EE3DC1">
        <w:rPr>
          <w:rFonts w:ascii="Tahoma" w:hAnsi="Tahoma" w:cs="Tahoma"/>
          <w:sz w:val="20"/>
          <w:szCs w:val="20"/>
        </w:rPr>
        <w:t>, a to za podmínek blíže specifikovaných v Zadávací dokumentaci vztahující se ke shora označené veřejné zakázce, včetně jejích příloh</w:t>
      </w:r>
      <w:r w:rsidR="00D56315">
        <w:rPr>
          <w:rFonts w:ascii="Tahoma" w:hAnsi="Tahoma" w:cs="Tahoma"/>
          <w:sz w:val="20"/>
          <w:szCs w:val="20"/>
        </w:rPr>
        <w:t xml:space="preserve"> a dle přílohy č. 1 této smlouvy</w:t>
      </w:r>
      <w:r w:rsidR="000654E0" w:rsidRPr="00EE3DC1">
        <w:rPr>
          <w:rFonts w:ascii="Tahoma" w:hAnsi="Tahoma" w:cs="Tahoma"/>
          <w:sz w:val="20"/>
          <w:szCs w:val="20"/>
        </w:rPr>
        <w:t xml:space="preserve">. </w:t>
      </w:r>
    </w:p>
    <w:p w14:paraId="4EB5EFEA" w14:textId="77777777" w:rsidR="00AC45F4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Součástí předmětu plnění je </w:t>
      </w:r>
      <w:r w:rsidRPr="001C61AE">
        <w:rPr>
          <w:rFonts w:ascii="Tahoma" w:hAnsi="Tahoma" w:cs="Tahoma"/>
          <w:sz w:val="20"/>
          <w:szCs w:val="20"/>
        </w:rPr>
        <w:t xml:space="preserve">bezplatná výpůjčka </w:t>
      </w:r>
      <w:r w:rsidR="00F45122" w:rsidRPr="00EE3DC1">
        <w:rPr>
          <w:rFonts w:ascii="Tahoma" w:hAnsi="Tahoma" w:cs="Tahoma"/>
          <w:sz w:val="20"/>
          <w:szCs w:val="20"/>
        </w:rPr>
        <w:t>2 ks</w:t>
      </w:r>
      <w:r w:rsidR="00C71EFE">
        <w:rPr>
          <w:rFonts w:ascii="Tahoma" w:hAnsi="Tahoma" w:cs="Tahoma"/>
          <w:sz w:val="20"/>
          <w:szCs w:val="20"/>
        </w:rPr>
        <w:t xml:space="preserve"> </w:t>
      </w:r>
      <w:r w:rsidR="00070892">
        <w:rPr>
          <w:rFonts w:ascii="Tahoma" w:hAnsi="Tahoma" w:cs="Tahoma"/>
          <w:sz w:val="20"/>
          <w:szCs w:val="20"/>
        </w:rPr>
        <w:t>elektrochirurgických jednotek</w:t>
      </w:r>
      <w:r>
        <w:rPr>
          <w:rFonts w:ascii="Tahoma" w:hAnsi="Tahoma" w:cs="Tahoma"/>
          <w:sz w:val="20"/>
          <w:szCs w:val="20"/>
        </w:rPr>
        <w:t>, realizovaná za</w:t>
      </w:r>
      <w:r w:rsidR="000654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</w:t>
      </w:r>
      <w:r w:rsidR="000654E0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mínek podrobně vymezených v samosta</w:t>
      </w:r>
      <w:r w:rsidR="00DC77B0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né </w:t>
      </w:r>
      <w:r w:rsidRPr="001C61AE">
        <w:rPr>
          <w:rFonts w:ascii="Tahoma" w:hAnsi="Tahoma" w:cs="Tahoma"/>
          <w:sz w:val="20"/>
          <w:szCs w:val="20"/>
        </w:rPr>
        <w:t>smlouvě</w:t>
      </w:r>
      <w:r w:rsidR="00DC77B0" w:rsidRPr="001C61AE">
        <w:rPr>
          <w:rFonts w:ascii="Tahoma" w:hAnsi="Tahoma" w:cs="Tahoma"/>
          <w:sz w:val="20"/>
          <w:szCs w:val="20"/>
        </w:rPr>
        <w:t xml:space="preserve"> o výpůjčce.</w:t>
      </w:r>
    </w:p>
    <w:p w14:paraId="34C1D035" w14:textId="77777777" w:rsidR="0046140A" w:rsidRPr="00EE3DC1" w:rsidRDefault="0046140A" w:rsidP="002B7B9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E3DC1">
        <w:rPr>
          <w:rFonts w:ascii="Tahoma" w:hAnsi="Tahoma" w:cs="Tahoma"/>
          <w:sz w:val="20"/>
          <w:szCs w:val="20"/>
        </w:rPr>
        <w:t xml:space="preserve">Prodávající se zavazuje </w:t>
      </w:r>
      <w:r w:rsidR="00420C46" w:rsidRPr="00EE3DC1">
        <w:rPr>
          <w:rFonts w:ascii="Tahoma" w:hAnsi="Tahoma" w:cs="Tahoma"/>
          <w:sz w:val="20"/>
          <w:szCs w:val="20"/>
        </w:rPr>
        <w:t xml:space="preserve">pravidelně </w:t>
      </w:r>
      <w:r w:rsidRPr="00EE3DC1">
        <w:rPr>
          <w:rFonts w:ascii="Tahoma" w:hAnsi="Tahoma" w:cs="Tahoma"/>
          <w:sz w:val="20"/>
          <w:szCs w:val="20"/>
        </w:rPr>
        <w:t>dod</w:t>
      </w:r>
      <w:r w:rsidR="00536683" w:rsidRPr="00EE3DC1">
        <w:rPr>
          <w:rFonts w:ascii="Tahoma" w:hAnsi="Tahoma" w:cs="Tahoma"/>
          <w:sz w:val="20"/>
          <w:szCs w:val="20"/>
        </w:rPr>
        <w:t>áv</w:t>
      </w:r>
      <w:r w:rsidR="00AC45F4" w:rsidRPr="00EE3DC1">
        <w:rPr>
          <w:rFonts w:ascii="Tahoma" w:hAnsi="Tahoma" w:cs="Tahoma"/>
          <w:sz w:val="20"/>
          <w:szCs w:val="20"/>
        </w:rPr>
        <w:t>at kupujícímu</w:t>
      </w:r>
      <w:r w:rsidR="00420C46" w:rsidRPr="00EE3DC1">
        <w:rPr>
          <w:rFonts w:ascii="Tahoma" w:hAnsi="Tahoma" w:cs="Tahoma"/>
          <w:sz w:val="20"/>
          <w:szCs w:val="20"/>
        </w:rPr>
        <w:t xml:space="preserve"> </w:t>
      </w:r>
      <w:r w:rsidR="00070892">
        <w:rPr>
          <w:rFonts w:ascii="Tahoma" w:hAnsi="Tahoma" w:cs="Tahoma"/>
          <w:sz w:val="20"/>
          <w:szCs w:val="20"/>
        </w:rPr>
        <w:t>spotřební materiál</w:t>
      </w:r>
      <w:r w:rsidR="00EE3DC1" w:rsidRPr="00EE3DC1">
        <w:rPr>
          <w:rFonts w:ascii="Tahoma" w:hAnsi="Tahoma" w:cs="Tahoma"/>
          <w:sz w:val="20"/>
          <w:szCs w:val="20"/>
        </w:rPr>
        <w:t>.</w:t>
      </w:r>
      <w:r w:rsidR="00EE3DC1">
        <w:rPr>
          <w:rFonts w:ascii="Tahoma" w:hAnsi="Tahoma" w:cs="Tahoma"/>
          <w:sz w:val="20"/>
          <w:szCs w:val="20"/>
        </w:rPr>
        <w:t xml:space="preserve"> </w:t>
      </w:r>
      <w:r w:rsidR="00557BF4" w:rsidRPr="00EE3DC1">
        <w:rPr>
          <w:rFonts w:ascii="Tahoma" w:hAnsi="Tahoma" w:cs="Tahoma"/>
          <w:sz w:val="20"/>
          <w:szCs w:val="20"/>
        </w:rPr>
        <w:t>K</w:t>
      </w:r>
      <w:r w:rsidRPr="00EE3DC1">
        <w:rPr>
          <w:rFonts w:ascii="Tahoma" w:hAnsi="Tahoma" w:cs="Tahoma"/>
          <w:sz w:val="20"/>
          <w:szCs w:val="20"/>
        </w:rPr>
        <w:t xml:space="preserve">upující se zavazuje prodávajícímu za poskytnuté plnění zaplatit za podmínek uvedených v této smlouvě kupní cenu dle čl. V této smlouvy. </w:t>
      </w:r>
    </w:p>
    <w:p w14:paraId="0A5D3FD3" w14:textId="77777777" w:rsidR="0046140A" w:rsidRPr="002E01D8" w:rsidRDefault="0046140A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Součástí předmětu plnění je doprava zboží do místa plnění a seznámení zaměstnanců uživatele s jeho řádným užíváním. </w:t>
      </w:r>
    </w:p>
    <w:p w14:paraId="36662877" w14:textId="77777777" w:rsidR="003912CF" w:rsidRPr="00FA4BED" w:rsidRDefault="008E6DD4" w:rsidP="009529C3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A4BED">
        <w:rPr>
          <w:rFonts w:ascii="Tahoma" w:hAnsi="Tahoma" w:cs="Tahoma"/>
          <w:sz w:val="20"/>
          <w:szCs w:val="20"/>
        </w:rPr>
        <w:t xml:space="preserve">Prodávající poskytuje kupujícímu následující záruku na jakost: </w:t>
      </w:r>
      <w:r w:rsidR="00F45122" w:rsidRPr="00FA4BED">
        <w:rPr>
          <w:rFonts w:ascii="Tahoma" w:hAnsi="Tahoma" w:cs="Tahoma"/>
          <w:sz w:val="20"/>
          <w:szCs w:val="20"/>
        </w:rPr>
        <w:t xml:space="preserve">exspirace </w:t>
      </w:r>
      <w:r w:rsidR="00070892" w:rsidRPr="00FA4BED">
        <w:rPr>
          <w:rFonts w:ascii="Tahoma" w:hAnsi="Tahoma" w:cs="Tahoma"/>
          <w:sz w:val="20"/>
          <w:szCs w:val="20"/>
        </w:rPr>
        <w:t>spotřebního materiálu</w:t>
      </w:r>
      <w:r w:rsidR="00F45122" w:rsidRPr="00FA4BED">
        <w:rPr>
          <w:rFonts w:ascii="Tahoma" w:hAnsi="Tahoma" w:cs="Tahoma"/>
          <w:sz w:val="20"/>
          <w:szCs w:val="20"/>
        </w:rPr>
        <w:t xml:space="preserve"> musí být v okamžiku dodání </w:t>
      </w:r>
      <w:r w:rsidR="00070892" w:rsidRPr="00FA4BED">
        <w:rPr>
          <w:rFonts w:ascii="Tahoma" w:hAnsi="Tahoma" w:cs="Tahoma"/>
          <w:sz w:val="20"/>
          <w:szCs w:val="20"/>
        </w:rPr>
        <w:t>minimálně 6 měsíců od data doručení.</w:t>
      </w:r>
      <w:r w:rsidR="00F45122" w:rsidRPr="00FA4BED">
        <w:rPr>
          <w:rFonts w:ascii="Tahoma" w:hAnsi="Tahoma" w:cs="Tahoma"/>
          <w:sz w:val="20"/>
          <w:szCs w:val="20"/>
        </w:rPr>
        <w:t xml:space="preserve"> </w:t>
      </w:r>
      <w:r w:rsidRPr="00FA4BED">
        <w:rPr>
          <w:rFonts w:ascii="Tahoma" w:hAnsi="Tahoma" w:cs="Tahoma"/>
          <w:sz w:val="20"/>
          <w:szCs w:val="20"/>
        </w:rPr>
        <w:t>Při nedodržení této podmínky má kupující nárok na bezplatnou výměnu zboží.</w:t>
      </w:r>
    </w:p>
    <w:p w14:paraId="082B3A85" w14:textId="77777777" w:rsidR="007A64E0" w:rsidRDefault="00411B59" w:rsidP="00B75031">
      <w:pPr>
        <w:pStyle w:val="Odstavecseseznamem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564A8">
        <w:rPr>
          <w:rFonts w:ascii="Tahoma" w:hAnsi="Tahoma" w:cs="Tahoma"/>
          <w:sz w:val="20"/>
          <w:szCs w:val="20"/>
        </w:rPr>
        <w:t xml:space="preserve">Prodávající </w:t>
      </w:r>
      <w:r w:rsidR="00EC193C" w:rsidRPr="00A564A8">
        <w:rPr>
          <w:rFonts w:ascii="Tahoma" w:hAnsi="Tahoma" w:cs="Tahoma"/>
          <w:sz w:val="20"/>
          <w:szCs w:val="20"/>
        </w:rPr>
        <w:t>doložil čestné prohlášení do nabídky</w:t>
      </w:r>
      <w:r w:rsidR="005064A5" w:rsidRPr="00A564A8">
        <w:rPr>
          <w:rFonts w:ascii="Tahoma" w:hAnsi="Tahoma" w:cs="Tahoma"/>
          <w:sz w:val="20"/>
          <w:szCs w:val="20"/>
        </w:rPr>
        <w:t xml:space="preserve"> (</w:t>
      </w:r>
      <w:r w:rsidR="007133E4" w:rsidRPr="00A564A8">
        <w:rPr>
          <w:rFonts w:ascii="Tahoma" w:hAnsi="Tahoma" w:cs="Tahoma"/>
          <w:sz w:val="20"/>
          <w:szCs w:val="20"/>
        </w:rPr>
        <w:t>P</w:t>
      </w:r>
      <w:r w:rsidR="00914A6C" w:rsidRPr="00A564A8">
        <w:rPr>
          <w:rFonts w:ascii="Tahoma" w:hAnsi="Tahoma" w:cs="Tahoma"/>
          <w:sz w:val="20"/>
          <w:szCs w:val="20"/>
        </w:rPr>
        <w:t xml:space="preserve">říloha č. </w:t>
      </w:r>
      <w:r w:rsidR="00F70F0D" w:rsidRPr="00A564A8">
        <w:rPr>
          <w:rFonts w:ascii="Tahoma" w:hAnsi="Tahoma" w:cs="Tahoma"/>
          <w:sz w:val="20"/>
          <w:szCs w:val="20"/>
        </w:rPr>
        <w:t>3</w:t>
      </w:r>
      <w:r w:rsidR="007133E4" w:rsidRPr="00A564A8">
        <w:rPr>
          <w:rFonts w:ascii="Tahoma" w:hAnsi="Tahoma" w:cs="Tahoma"/>
          <w:sz w:val="20"/>
          <w:szCs w:val="20"/>
        </w:rPr>
        <w:t xml:space="preserve"> ZD</w:t>
      </w:r>
      <w:r w:rsidR="005064A5" w:rsidRPr="00A564A8">
        <w:rPr>
          <w:rFonts w:ascii="Tahoma" w:hAnsi="Tahoma" w:cs="Tahoma"/>
          <w:sz w:val="20"/>
          <w:szCs w:val="20"/>
        </w:rPr>
        <w:t>)</w:t>
      </w:r>
      <w:r w:rsidR="00DC77B0" w:rsidRPr="00A564A8">
        <w:rPr>
          <w:rFonts w:ascii="Tahoma" w:hAnsi="Tahoma" w:cs="Tahoma"/>
          <w:sz w:val="20"/>
          <w:szCs w:val="20"/>
        </w:rPr>
        <w:t xml:space="preserve"> a následně jako vítězný účastník</w:t>
      </w:r>
      <w:r w:rsidR="00EC193C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poskytl</w:t>
      </w:r>
      <w:r w:rsidRPr="00A564A8">
        <w:rPr>
          <w:rFonts w:ascii="Tahoma" w:hAnsi="Tahoma" w:cs="Tahoma"/>
          <w:sz w:val="20"/>
          <w:szCs w:val="20"/>
        </w:rPr>
        <w:t xml:space="preserve"> zadavateli všechny doklady </w:t>
      </w:r>
      <w:r w:rsidR="009816DF" w:rsidRPr="00A564A8">
        <w:rPr>
          <w:rFonts w:ascii="Tahoma" w:hAnsi="Tahoma" w:cs="Tahoma"/>
          <w:sz w:val="20"/>
          <w:szCs w:val="20"/>
        </w:rPr>
        <w:t>k jednotlivým položkám</w:t>
      </w:r>
      <w:r w:rsidR="00C82151" w:rsidRPr="00A564A8">
        <w:rPr>
          <w:rFonts w:ascii="Tahoma" w:hAnsi="Tahoma" w:cs="Tahoma"/>
          <w:sz w:val="20"/>
          <w:szCs w:val="20"/>
        </w:rPr>
        <w:t>,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 xml:space="preserve">prokazující, že předmět plnění </w:t>
      </w:r>
      <w:r w:rsidR="008B6FDF" w:rsidRPr="00A564A8">
        <w:rPr>
          <w:rFonts w:ascii="Tahoma" w:hAnsi="Tahoma" w:cs="Tahoma"/>
          <w:sz w:val="20"/>
          <w:szCs w:val="20"/>
        </w:rPr>
        <w:t xml:space="preserve">splňuje požadavky nařízení EU 2017/746 o diagnostických zdravotnických prostředcích in vitro </w:t>
      </w:r>
      <w:r w:rsidR="007A64E0" w:rsidRPr="00A564A8">
        <w:rPr>
          <w:rFonts w:ascii="Tahoma" w:hAnsi="Tahoma" w:cs="Tahoma"/>
          <w:sz w:val="20"/>
          <w:szCs w:val="20"/>
        </w:rPr>
        <w:t>a je z hlediska právních předpisů způsobilý a vhodný pro poskytování zdravotní péče. Dále poskytl doklady ke splnění vešk</w:t>
      </w:r>
      <w:r w:rsidR="004E76B6" w:rsidRPr="00A564A8">
        <w:rPr>
          <w:rFonts w:ascii="Tahoma" w:hAnsi="Tahoma" w:cs="Tahoma"/>
          <w:sz w:val="20"/>
          <w:szCs w:val="20"/>
        </w:rPr>
        <w:t xml:space="preserve">erých </w:t>
      </w:r>
      <w:r w:rsidR="007A64E0" w:rsidRPr="00A564A8">
        <w:rPr>
          <w:rFonts w:ascii="Tahoma" w:hAnsi="Tahoma" w:cs="Tahoma"/>
          <w:sz w:val="20"/>
          <w:szCs w:val="20"/>
        </w:rPr>
        <w:t>požadavků zákona č.</w:t>
      </w:r>
      <w:r w:rsidR="00445F0C" w:rsidRPr="00A564A8">
        <w:rPr>
          <w:rFonts w:ascii="Tahoma" w:hAnsi="Tahoma" w:cs="Tahoma"/>
          <w:sz w:val="20"/>
          <w:szCs w:val="20"/>
        </w:rPr>
        <w:t xml:space="preserve"> </w:t>
      </w:r>
      <w:r w:rsidR="008B6FDF" w:rsidRPr="00A564A8">
        <w:rPr>
          <w:rFonts w:ascii="Tahoma" w:hAnsi="Tahoma" w:cs="Tahoma"/>
          <w:sz w:val="20"/>
          <w:szCs w:val="20"/>
        </w:rPr>
        <w:t>375/2022</w:t>
      </w:r>
      <w:r w:rsidR="007A64E0" w:rsidRPr="00A564A8">
        <w:rPr>
          <w:rFonts w:ascii="Tahoma" w:hAnsi="Tahoma" w:cs="Tahoma"/>
          <w:sz w:val="20"/>
          <w:szCs w:val="20"/>
        </w:rPr>
        <w:t xml:space="preserve"> Sb., o zdravotnických prostředcích, ve znění pozdějších předpisů a jeho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prováděcích předpisů,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kterými stanoví technické požadavky na zdravotnické prostředky.</w:t>
      </w:r>
      <w:r w:rsidR="00A65549" w:rsidRPr="00A564A8">
        <w:rPr>
          <w:rFonts w:ascii="Tahoma" w:hAnsi="Tahoma" w:cs="Tahoma"/>
          <w:sz w:val="20"/>
          <w:szCs w:val="20"/>
        </w:rPr>
        <w:t xml:space="preserve"> </w:t>
      </w:r>
    </w:p>
    <w:p w14:paraId="3E1A7B07" w14:textId="183B3AF7" w:rsidR="004C755D" w:rsidRDefault="00FA4BED" w:rsidP="008B6FDF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A4BED">
        <w:rPr>
          <w:rFonts w:ascii="Tahoma" w:hAnsi="Tahoma" w:cs="Tahoma"/>
          <w:sz w:val="20"/>
          <w:szCs w:val="20"/>
        </w:rPr>
        <w:t>Prodávající musí včas upozornit kupujícího, že bude výpadek dodávek spotřebního materiálu, aby se stačil předzásobit</w:t>
      </w:r>
      <w:r w:rsidR="00DF0A31">
        <w:rPr>
          <w:rFonts w:ascii="Tahoma" w:hAnsi="Tahoma" w:cs="Tahoma"/>
          <w:sz w:val="20"/>
          <w:szCs w:val="20"/>
        </w:rPr>
        <w:t>. Prodávající upozorní na výpadek kupujícího v</w:t>
      </w:r>
      <w:r w:rsidRPr="00FA4BED">
        <w:rPr>
          <w:rFonts w:ascii="Tahoma" w:hAnsi="Tahoma" w:cs="Tahoma"/>
          <w:sz w:val="20"/>
          <w:szCs w:val="20"/>
        </w:rPr>
        <w:t>ždy 60 dnů před</w:t>
      </w:r>
      <w:r w:rsidR="00DF0A31">
        <w:rPr>
          <w:rFonts w:ascii="Tahoma" w:hAnsi="Tahoma" w:cs="Tahoma"/>
          <w:sz w:val="20"/>
          <w:szCs w:val="20"/>
        </w:rPr>
        <w:t xml:space="preserve"> výpadkem spotřebního materiálu</w:t>
      </w:r>
      <w:r w:rsidRPr="00FA4BED">
        <w:rPr>
          <w:rFonts w:ascii="Tahoma" w:hAnsi="Tahoma" w:cs="Tahoma"/>
          <w:sz w:val="20"/>
          <w:szCs w:val="20"/>
        </w:rPr>
        <w:t>.</w:t>
      </w:r>
    </w:p>
    <w:p w14:paraId="7D70B942" w14:textId="77777777"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68801AFA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14:paraId="1597C85B" w14:textId="77777777" w:rsidR="0046140A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7AEE153C" w14:textId="77777777" w:rsidR="008A21E0" w:rsidRPr="002E01D8" w:rsidRDefault="008A21E0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AB19842" w14:textId="24AFE7C7" w:rsidR="006664E7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se zavazuje dodávat kupujícímu zboží do místa plnění, kterým je sídlo uživatele, tj.</w:t>
      </w:r>
      <w:r w:rsidR="007F628F">
        <w:rPr>
          <w:rFonts w:ascii="Tahoma" w:hAnsi="Tahoma" w:cs="Tahoma"/>
          <w:bCs/>
          <w:sz w:val="20"/>
          <w:szCs w:val="20"/>
        </w:rPr>
        <w:t xml:space="preserve"> Moravskoslezská nemocnice Opava</w:t>
      </w:r>
      <w:r w:rsidRPr="002E01D8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>
        <w:rPr>
          <w:rFonts w:ascii="Tahoma" w:hAnsi="Tahoma" w:cs="Tahoma"/>
          <w:sz w:val="20"/>
          <w:szCs w:val="20"/>
        </w:rPr>
        <w:t>470/</w:t>
      </w:r>
      <w:r w:rsidRPr="002E01D8">
        <w:rPr>
          <w:rFonts w:ascii="Tahoma" w:hAnsi="Tahoma" w:cs="Tahoma"/>
          <w:sz w:val="20"/>
          <w:szCs w:val="20"/>
        </w:rPr>
        <w:t xml:space="preserve">86, </w:t>
      </w:r>
      <w:r w:rsidR="005960E5">
        <w:rPr>
          <w:rFonts w:ascii="Tahoma" w:hAnsi="Tahoma" w:cs="Tahoma"/>
          <w:sz w:val="20"/>
          <w:szCs w:val="20"/>
        </w:rPr>
        <w:t xml:space="preserve">Předměstí, </w:t>
      </w:r>
      <w:r w:rsidRPr="002E01D8">
        <w:rPr>
          <w:rFonts w:ascii="Tahoma" w:hAnsi="Tahoma" w:cs="Tahoma"/>
          <w:sz w:val="20"/>
          <w:szCs w:val="20"/>
        </w:rPr>
        <w:t>746 01, Opava, IČ: 47813750</w:t>
      </w:r>
      <w:r w:rsidR="008E6DD4" w:rsidRPr="008554FA">
        <w:rPr>
          <w:rFonts w:ascii="Tahoma" w:hAnsi="Tahoma" w:cs="Tahoma"/>
          <w:sz w:val="20"/>
          <w:szCs w:val="20"/>
        </w:rPr>
        <w:t xml:space="preserve">, </w:t>
      </w:r>
      <w:r w:rsidR="009529C3">
        <w:rPr>
          <w:rFonts w:ascii="Tahoma" w:hAnsi="Tahoma" w:cs="Tahoma"/>
          <w:sz w:val="20"/>
          <w:szCs w:val="20"/>
        </w:rPr>
        <w:t>nemocniční lékárna</w:t>
      </w:r>
      <w:r w:rsidR="00070892">
        <w:rPr>
          <w:rFonts w:ascii="Tahoma" w:hAnsi="Tahoma" w:cs="Tahoma"/>
          <w:sz w:val="20"/>
          <w:szCs w:val="20"/>
        </w:rPr>
        <w:t xml:space="preserve"> – PZT sklad</w:t>
      </w:r>
      <w:r w:rsidRPr="006A3DE1">
        <w:rPr>
          <w:rFonts w:ascii="Tahoma" w:hAnsi="Tahoma" w:cs="Tahoma"/>
          <w:sz w:val="20"/>
          <w:szCs w:val="20"/>
        </w:rPr>
        <w:t xml:space="preserve"> </w:t>
      </w:r>
      <w:r w:rsidRPr="002E01D8">
        <w:rPr>
          <w:rFonts w:ascii="Tahoma" w:hAnsi="Tahoma" w:cs="Tahoma"/>
          <w:sz w:val="20"/>
          <w:szCs w:val="20"/>
        </w:rPr>
        <w:t>(dále jen „uživatel“) v období od podpisu kupní smlouvy v průběžných dodávkác</w:t>
      </w:r>
      <w:r w:rsidR="006664E7">
        <w:rPr>
          <w:rFonts w:ascii="Tahoma" w:hAnsi="Tahoma" w:cs="Tahoma"/>
          <w:sz w:val="20"/>
          <w:szCs w:val="20"/>
        </w:rPr>
        <w:t>h.</w:t>
      </w:r>
    </w:p>
    <w:p w14:paraId="2A2AE063" w14:textId="77777777" w:rsidR="00C71EFE" w:rsidRDefault="006664E7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Dodávky budou realizovány na základě dílčích objednávek kupujícího, a to za využití prostředků elektronické komunikace či výjimečně telefonicky.</w:t>
      </w:r>
      <w:r w:rsidR="0046140A" w:rsidRPr="002E01D8">
        <w:rPr>
          <w:rFonts w:ascii="Tahoma" w:hAnsi="Tahoma" w:cs="Tahoma"/>
          <w:sz w:val="20"/>
          <w:szCs w:val="20"/>
        </w:rPr>
        <w:t xml:space="preserve"> </w:t>
      </w:r>
    </w:p>
    <w:p w14:paraId="49EF0996" w14:textId="77777777" w:rsidR="006664E7" w:rsidRDefault="006664E7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osobou prodávajícího pro účely přijímání objednávek je určen:</w:t>
      </w:r>
    </w:p>
    <w:p w14:paraId="724F8E3D" w14:textId="77777777" w:rsidR="006664E7" w:rsidRPr="006664E7" w:rsidRDefault="006664E7" w:rsidP="006664E7">
      <w:pPr>
        <w:pStyle w:val="Odstavecseseznamem"/>
        <w:numPr>
          <w:ilvl w:val="0"/>
          <w:numId w:val="35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6664E7">
        <w:rPr>
          <w:rFonts w:ascii="Tahoma" w:hAnsi="Tahoma" w:cs="Tahoma"/>
          <w:sz w:val="20"/>
          <w:szCs w:val="20"/>
        </w:rPr>
        <w:t>méno a příjmení:</w:t>
      </w:r>
      <w:r>
        <w:rPr>
          <w:rFonts w:ascii="Tahoma" w:hAnsi="Tahoma" w:cs="Tahoma"/>
          <w:sz w:val="20"/>
          <w:szCs w:val="20"/>
        </w:rPr>
        <w:tab/>
      </w:r>
      <w:r w:rsidRPr="006664E7">
        <w:rPr>
          <w:rFonts w:ascii="Tahoma" w:hAnsi="Tahoma" w:cs="Tahoma"/>
          <w:sz w:val="20"/>
          <w:szCs w:val="22"/>
          <w:highlight w:val="yellow"/>
        </w:rPr>
        <w:t>………………………….</w:t>
      </w:r>
      <w:r w:rsidRPr="006664E7">
        <w:rPr>
          <w:rFonts w:ascii="Tahoma" w:hAnsi="Tahoma" w:cs="Tahoma"/>
          <w:sz w:val="20"/>
          <w:szCs w:val="22"/>
        </w:rPr>
        <w:t xml:space="preserve"> </w:t>
      </w:r>
      <w:r w:rsidRPr="006664E7">
        <w:rPr>
          <w:rFonts w:ascii="Tahoma" w:hAnsi="Tahoma" w:cs="Tahoma"/>
          <w:i/>
          <w:iCs/>
          <w:color w:val="FF0000"/>
          <w:sz w:val="20"/>
          <w:szCs w:val="20"/>
        </w:rPr>
        <w:t>(doplní prodávající)</w:t>
      </w:r>
    </w:p>
    <w:p w14:paraId="7110B6B0" w14:textId="77777777" w:rsidR="00C71EFE" w:rsidRPr="006664E7" w:rsidRDefault="006664E7" w:rsidP="006664E7">
      <w:pPr>
        <w:pStyle w:val="Odstavecseseznamem"/>
        <w:widowControl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 w:rsidRPr="006664E7">
        <w:rPr>
          <w:rFonts w:ascii="Tahoma" w:hAnsi="Tahoma" w:cs="Tahoma"/>
          <w:sz w:val="20"/>
          <w:szCs w:val="22"/>
        </w:rPr>
        <w:t>tel.</w:t>
      </w:r>
      <w:r w:rsidR="00C71EFE" w:rsidRPr="006664E7">
        <w:rPr>
          <w:rFonts w:ascii="Tahoma" w:hAnsi="Tahoma" w:cs="Tahoma"/>
          <w:sz w:val="20"/>
          <w:szCs w:val="22"/>
        </w:rPr>
        <w:t xml:space="preserve">: 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 w:rsidR="00C71EFE" w:rsidRPr="006664E7">
        <w:rPr>
          <w:rFonts w:ascii="Tahoma" w:hAnsi="Tahoma" w:cs="Tahoma"/>
          <w:sz w:val="20"/>
          <w:szCs w:val="22"/>
          <w:highlight w:val="yellow"/>
        </w:rPr>
        <w:t>………………………….</w:t>
      </w:r>
      <w:r w:rsidR="00C71EFE" w:rsidRPr="006664E7">
        <w:rPr>
          <w:rFonts w:ascii="Tahoma" w:hAnsi="Tahoma" w:cs="Tahoma"/>
          <w:sz w:val="20"/>
          <w:szCs w:val="22"/>
        </w:rPr>
        <w:t xml:space="preserve"> </w:t>
      </w:r>
      <w:r w:rsidR="00C71EFE" w:rsidRPr="006664E7">
        <w:rPr>
          <w:rFonts w:ascii="Tahoma" w:hAnsi="Tahoma" w:cs="Tahoma"/>
          <w:i/>
          <w:iCs/>
          <w:color w:val="FF0000"/>
          <w:sz w:val="20"/>
          <w:szCs w:val="20"/>
        </w:rPr>
        <w:t xml:space="preserve">(doplní </w:t>
      </w:r>
      <w:r w:rsidR="00B91ED7" w:rsidRPr="006664E7">
        <w:rPr>
          <w:rFonts w:ascii="Tahoma" w:hAnsi="Tahoma" w:cs="Tahoma"/>
          <w:i/>
          <w:iCs/>
          <w:color w:val="FF0000"/>
          <w:sz w:val="20"/>
          <w:szCs w:val="20"/>
        </w:rPr>
        <w:t>prodávající</w:t>
      </w:r>
      <w:r w:rsidR="00C71EFE" w:rsidRPr="006664E7">
        <w:rPr>
          <w:rFonts w:ascii="Tahoma" w:hAnsi="Tahoma" w:cs="Tahoma"/>
          <w:i/>
          <w:iCs/>
          <w:color w:val="FF0000"/>
          <w:sz w:val="20"/>
          <w:szCs w:val="20"/>
        </w:rPr>
        <w:t>)</w:t>
      </w:r>
    </w:p>
    <w:p w14:paraId="293D79F2" w14:textId="77777777" w:rsidR="00C71EFE" w:rsidRPr="006664E7" w:rsidRDefault="00C71EFE" w:rsidP="006664E7">
      <w:pPr>
        <w:pStyle w:val="Odstavecseseznamem"/>
        <w:widowControl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 w:rsidRPr="006664E7">
        <w:rPr>
          <w:rFonts w:ascii="Tahoma" w:hAnsi="Tahoma" w:cs="Tahoma"/>
          <w:iCs/>
          <w:sz w:val="20"/>
          <w:szCs w:val="20"/>
        </w:rPr>
        <w:t xml:space="preserve">e-mail: </w:t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B91ED7" w:rsidRPr="006664E7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Pr="006664E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91ED7" w:rsidRPr="006664E7">
        <w:rPr>
          <w:rFonts w:ascii="Tahoma" w:hAnsi="Tahoma" w:cs="Tahoma"/>
          <w:i/>
          <w:iCs/>
          <w:color w:val="FF0000"/>
          <w:sz w:val="20"/>
          <w:szCs w:val="20"/>
        </w:rPr>
        <w:t>(doplní prodávající</w:t>
      </w:r>
      <w:r w:rsidRPr="006664E7">
        <w:rPr>
          <w:rFonts w:ascii="Tahoma" w:hAnsi="Tahoma" w:cs="Tahoma"/>
          <w:i/>
          <w:iCs/>
          <w:color w:val="FF0000"/>
          <w:sz w:val="20"/>
          <w:szCs w:val="20"/>
        </w:rPr>
        <w:t>)</w:t>
      </w:r>
    </w:p>
    <w:p w14:paraId="367C0411" w14:textId="699F92F1"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B75031">
        <w:rPr>
          <w:rFonts w:ascii="Tahoma" w:hAnsi="Tahoma" w:cs="Tahoma"/>
          <w:sz w:val="20"/>
          <w:szCs w:val="20"/>
        </w:rPr>
        <w:br/>
      </w:r>
      <w:r w:rsidR="00897A5C" w:rsidRPr="00C71EFE">
        <w:rPr>
          <w:rFonts w:ascii="Tahoma" w:hAnsi="Tahoma" w:cs="Tahoma"/>
          <w:b/>
          <w:sz w:val="20"/>
          <w:szCs w:val="20"/>
        </w:rPr>
        <w:t xml:space="preserve">do </w:t>
      </w:r>
      <w:r w:rsidR="009529C3">
        <w:rPr>
          <w:rFonts w:ascii="Tahoma" w:hAnsi="Tahoma" w:cs="Tahoma"/>
          <w:b/>
          <w:sz w:val="20"/>
          <w:szCs w:val="20"/>
        </w:rPr>
        <w:t>5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9529C3">
        <w:rPr>
          <w:rFonts w:ascii="Tahoma" w:hAnsi="Tahoma" w:cs="Tahoma"/>
          <w:b/>
          <w:sz w:val="20"/>
          <w:szCs w:val="20"/>
        </w:rPr>
        <w:t>pracovních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14:paraId="4EB4E122" w14:textId="61725442" w:rsidR="0097291D" w:rsidRPr="002E01D8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lastRenderedPageBreak/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</w:t>
      </w:r>
      <w:r w:rsidR="00B75031">
        <w:rPr>
          <w:rFonts w:ascii="Tahoma" w:hAnsi="Tahoma" w:cs="Tahoma"/>
          <w:sz w:val="20"/>
          <w:szCs w:val="20"/>
        </w:rPr>
        <w:br/>
      </w:r>
      <w:r w:rsidR="0097291D" w:rsidRPr="002E01D8">
        <w:rPr>
          <w:rFonts w:ascii="Tahoma" w:hAnsi="Tahoma" w:cs="Tahoma"/>
          <w:sz w:val="20"/>
          <w:szCs w:val="20"/>
        </w:rPr>
        <w:t xml:space="preserve">od </w:t>
      </w:r>
      <w:proofErr w:type="gramStart"/>
      <w:r w:rsidR="0097291D" w:rsidRPr="002E01D8">
        <w:rPr>
          <w:rFonts w:ascii="Tahoma" w:hAnsi="Tahoma" w:cs="Tahoma"/>
          <w:sz w:val="20"/>
          <w:szCs w:val="20"/>
        </w:rPr>
        <w:t>7 – 15</w:t>
      </w:r>
      <w:proofErr w:type="gramEnd"/>
      <w:r w:rsidR="0097291D" w:rsidRPr="002E01D8">
        <w:rPr>
          <w:rFonts w:ascii="Tahoma" w:hAnsi="Tahoma" w:cs="Tahoma"/>
          <w:sz w:val="20"/>
          <w:szCs w:val="20"/>
        </w:rPr>
        <w:t xml:space="preserve"> hod.</w:t>
      </w:r>
    </w:p>
    <w:p w14:paraId="0C2DB0D8" w14:textId="77777777"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14:paraId="44A660F1" w14:textId="6E522C17" w:rsidR="009C7DB8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="00B75031">
        <w:rPr>
          <w:rFonts w:ascii="Tahoma" w:hAnsi="Tahoma" w:cs="Tahoma"/>
          <w:sz w:val="20"/>
          <w:szCs w:val="20"/>
        </w:rPr>
        <w:t xml:space="preserve"> </w:t>
      </w:r>
      <w:r w:rsidRPr="002E01D8">
        <w:rPr>
          <w:rFonts w:ascii="Tahoma" w:hAnsi="Tahoma" w:cs="Tahoma"/>
          <w:sz w:val="20"/>
          <w:szCs w:val="20"/>
        </w:rPr>
        <w:t>podpisem dodacího listu dochází k převzetí a předání zboží.</w:t>
      </w:r>
    </w:p>
    <w:p w14:paraId="3DE1D405" w14:textId="77777777"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B8F8ED2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14:paraId="6D66E14F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14:paraId="1EDE776E" w14:textId="77777777" w:rsidR="00254855" w:rsidRPr="002E01D8" w:rsidRDefault="00254855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79887CF" w14:textId="77777777" w:rsidR="00D47F1B" w:rsidRPr="00AB2206" w:rsidRDefault="001F2C8B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r w:rsidR="007133E4">
        <w:rPr>
          <w:rFonts w:ascii="Tahoma" w:hAnsi="Tahoma" w:cs="Tahoma"/>
          <w:sz w:val="20"/>
          <w:szCs w:val="20"/>
        </w:rPr>
        <w:t>(</w:t>
      </w:r>
      <w:r w:rsidR="00070892">
        <w:rPr>
          <w:rFonts w:ascii="Tahoma" w:hAnsi="Tahoma" w:cs="Tahoma"/>
          <w:sz w:val="20"/>
          <w:szCs w:val="20"/>
        </w:rPr>
        <w:t>spotřební materiál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14:paraId="119EE9AB" w14:textId="77777777" w:rsidR="002D3A3C" w:rsidRPr="0060091F" w:rsidRDefault="003B1E50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8A21E0">
        <w:rPr>
          <w:rFonts w:ascii="Tahoma" w:hAnsi="Tahoma" w:cs="Tahoma"/>
          <w:sz w:val="20"/>
          <w:szCs w:val="20"/>
        </w:rPr>
        <w:t>dvou</w:t>
      </w:r>
      <w:r w:rsidR="00D17450" w:rsidRPr="0060091F">
        <w:rPr>
          <w:rFonts w:ascii="Tahoma" w:hAnsi="Tahoma" w:cs="Tahoma"/>
          <w:sz w:val="20"/>
          <w:szCs w:val="20"/>
        </w:rPr>
        <w:t xml:space="preserve"> let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E0277F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 xml:space="preserve">nebude mít vliv na výši </w:t>
      </w:r>
      <w:r w:rsidR="00E0277F">
        <w:rPr>
          <w:rFonts w:ascii="Tahoma" w:hAnsi="Tahoma" w:cs="Tahoma"/>
          <w:sz w:val="20"/>
          <w:szCs w:val="20"/>
        </w:rPr>
        <w:tab/>
      </w:r>
      <w:r w:rsidR="006C17CF" w:rsidRPr="0060091F">
        <w:rPr>
          <w:rFonts w:ascii="Tahoma" w:hAnsi="Tahoma" w:cs="Tahoma"/>
          <w:sz w:val="20"/>
          <w:szCs w:val="20"/>
        </w:rPr>
        <w:t>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14:paraId="1876F3F4" w14:textId="77777777" w:rsidR="0000595D" w:rsidRPr="008554FA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14:paraId="26799F46" w14:textId="77777777" w:rsidR="00081FF3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22E00CC9" w14:textId="77777777" w:rsidR="005E555F" w:rsidRPr="002E01D8" w:rsidRDefault="005E555F" w:rsidP="005E555F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08573205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14:paraId="1426A9BC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2A4A4274" w14:textId="77777777" w:rsidR="00031C21" w:rsidRPr="002E01D8" w:rsidRDefault="00031C21" w:rsidP="00DC77B0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DE4159B" w14:textId="77777777" w:rsidR="0097291D" w:rsidRDefault="00031C21" w:rsidP="00B035C3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14:paraId="321DE7BA" w14:textId="77777777" w:rsidR="00CD3E67" w:rsidRPr="00C701C4" w:rsidRDefault="00CD3E67" w:rsidP="00CD3E67">
      <w:pPr>
        <w:widowControl/>
        <w:numPr>
          <w:ilvl w:val="0"/>
          <w:numId w:val="1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14:paraId="404F8D55" w14:textId="77777777"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</w:t>
      </w:r>
      <w:r w:rsidR="008A21E0">
        <w:rPr>
          <w:rFonts w:ascii="Tahoma" w:hAnsi="Tahoma" w:cs="Tahoma"/>
          <w:b/>
          <w:sz w:val="20"/>
          <w:szCs w:val="20"/>
        </w:rPr>
        <w:t>PRO</w:t>
      </w:r>
      <w:r w:rsidRPr="00C701C4">
        <w:rPr>
          <w:rFonts w:ascii="Tahoma" w:hAnsi="Tahoma" w:cs="Tahoma"/>
          <w:b/>
          <w:sz w:val="20"/>
          <w:szCs w:val="20"/>
        </w:rPr>
        <w:t>/202</w:t>
      </w:r>
      <w:r w:rsidR="008A21E0">
        <w:rPr>
          <w:rFonts w:ascii="Tahoma" w:hAnsi="Tahoma" w:cs="Tahoma"/>
          <w:b/>
          <w:sz w:val="20"/>
          <w:szCs w:val="20"/>
        </w:rPr>
        <w:t>6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6664E7">
        <w:rPr>
          <w:rFonts w:ascii="Tahoma" w:hAnsi="Tahoma" w:cs="Tahoma"/>
          <w:b/>
          <w:sz w:val="20"/>
          <w:szCs w:val="20"/>
        </w:rPr>
        <w:t>0</w:t>
      </w:r>
      <w:r w:rsidR="008A21E0">
        <w:rPr>
          <w:rFonts w:ascii="Tahoma" w:hAnsi="Tahoma" w:cs="Tahoma"/>
          <w:b/>
          <w:sz w:val="20"/>
          <w:szCs w:val="20"/>
        </w:rPr>
        <w:t>1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14:paraId="46EDC9A6" w14:textId="77777777" w:rsidR="00B035C3" w:rsidRDefault="00B035C3" w:rsidP="00CD3E6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</w:t>
        </w:r>
        <w:bookmarkStart w:id="3" w:name="_GoBack"/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sno</w:t>
        </w:r>
        <w:bookmarkEnd w:id="3"/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pava.cz</w:t>
        </w:r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14:paraId="2B5DC1FE" w14:textId="77777777"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46E7FB33" w14:textId="77777777"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14:paraId="4C9CA9C5" w14:textId="77777777"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 xml:space="preserve">li chybně vyúčtována cena nebo DPH, je kupující oprávněn fakturu před uplynutím lhůty splatnosti vrátit druhé </w:t>
      </w:r>
      <w:r w:rsidRPr="00CD3E67">
        <w:rPr>
          <w:rFonts w:ascii="Tahoma" w:hAnsi="Tahoma" w:cs="Tahoma"/>
          <w:sz w:val="20"/>
          <w:szCs w:val="20"/>
        </w:rPr>
        <w:lastRenderedPageBreak/>
        <w:t>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3129C707" w14:textId="77777777" w:rsidR="00B035C3" w:rsidRPr="00B91ED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>Je-li prodávající plátcem DPH, kupující uplatní institut zvláštního způsobu zajištění daně dle § 109a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14:paraId="2AC536EE" w14:textId="77777777" w:rsidR="00B035C3" w:rsidRPr="00633675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14:paraId="6AD904B3" w14:textId="77777777"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14:paraId="229648BB" w14:textId="77777777"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14:paraId="7A70F197" w14:textId="77777777" w:rsidR="00B035C3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14:paraId="59F12EE1" w14:textId="77777777" w:rsidR="004272CB" w:rsidRPr="004272CB" w:rsidRDefault="004272CB" w:rsidP="004272CB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4" w:name="_Hlk190684933"/>
      <w:r w:rsidRPr="004272CB">
        <w:rPr>
          <w:rFonts w:ascii="Tahoma" w:hAnsi="Tahoma" w:cs="Tahoma"/>
          <w:sz w:val="20"/>
          <w:szCs w:val="20"/>
        </w:rPr>
        <w:t xml:space="preserve">Smluvní strany si sjednávají, že pokud průměrná meziroční míra inflace dle oficiálních údajů Českého statistického úřadu v předchozím kalendářním roce překročí 3 %, je prodávající oprávněn zvýšit sjednanou a dosud neuhrazenou kupní cenu dle této smlouvy tak, že toto zvýšení bude odpovídat poměrnému navýšení o částku přesahující meziroční míru inflace nad uvedená 3 %. K případnému zvýšení smluvní ceny může dojít vždy k 1. březnu příslušného roku, počínaje rokem 2026 a dále </w:t>
      </w:r>
      <w:r w:rsidR="008A21E0">
        <w:rPr>
          <w:rFonts w:ascii="Tahoma" w:hAnsi="Tahoma" w:cs="Tahoma"/>
          <w:sz w:val="20"/>
          <w:szCs w:val="20"/>
        </w:rPr>
        <w:br/>
      </w:r>
      <w:r w:rsidRPr="004272CB">
        <w:rPr>
          <w:rFonts w:ascii="Tahoma" w:hAnsi="Tahoma" w:cs="Tahoma"/>
          <w:sz w:val="20"/>
          <w:szCs w:val="20"/>
        </w:rPr>
        <w:t xml:space="preserve">v každém roce trvání smlouvy, a to výhradně na základě písemného dodatku ke smlouvě podepsaného oběma smluvními stranami. Prodávající se zavazuje zaslat kupujícímu oznámení </w:t>
      </w:r>
      <w:r w:rsidR="008A21E0">
        <w:rPr>
          <w:rFonts w:ascii="Tahoma" w:hAnsi="Tahoma" w:cs="Tahoma"/>
          <w:sz w:val="20"/>
          <w:szCs w:val="20"/>
        </w:rPr>
        <w:br/>
      </w:r>
      <w:r w:rsidRPr="004272CB">
        <w:rPr>
          <w:rFonts w:ascii="Tahoma" w:hAnsi="Tahoma" w:cs="Tahoma"/>
          <w:sz w:val="20"/>
          <w:szCs w:val="20"/>
        </w:rPr>
        <w:t xml:space="preserve">o uplatnění této inflační doložky nejpozději do 31. 1. příslušného kalendářního roku, v opačném případě své právo na uzavření dodatku o navýšení kupní ceny za daný rok ztrácí. </w:t>
      </w:r>
    </w:p>
    <w:bookmarkEnd w:id="4"/>
    <w:p w14:paraId="14A065DA" w14:textId="77777777" w:rsidR="006664E7" w:rsidRPr="00633675" w:rsidRDefault="006664E7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</w:p>
    <w:p w14:paraId="68701630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14:paraId="2F101FE8" w14:textId="77777777" w:rsidR="00EE61B5" w:rsidRDefault="00EE61B5" w:rsidP="008A21E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18A4D369" w14:textId="77777777" w:rsidR="008A21E0" w:rsidRPr="002E01D8" w:rsidRDefault="008A21E0" w:rsidP="008A21E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64F2B9B" w14:textId="77777777" w:rsidR="00EE61B5" w:rsidRPr="00AB2206" w:rsidRDefault="002F6E42" w:rsidP="008A21E0">
      <w:pPr>
        <w:numPr>
          <w:ilvl w:val="0"/>
          <w:numId w:val="9"/>
        </w:numPr>
        <w:tabs>
          <w:tab w:val="clear" w:pos="283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="0048458A">
        <w:rPr>
          <w:rFonts w:ascii="Tahoma" w:hAnsi="Tahoma" w:cs="Tahoma"/>
          <w:sz w:val="20"/>
          <w:szCs w:val="20"/>
        </w:rPr>
        <w:t>spotřební materiál</w:t>
      </w:r>
      <w:r w:rsidRPr="00AB2206">
        <w:rPr>
          <w:rFonts w:ascii="Tahoma" w:hAnsi="Tahoma" w:cs="Tahoma"/>
          <w:sz w:val="20"/>
          <w:szCs w:val="20"/>
        </w:rPr>
        <w:t xml:space="preserve"> ve stanovené lhůtě</w:t>
      </w:r>
      <w:r w:rsidR="00653C49">
        <w:rPr>
          <w:rFonts w:ascii="Tahoma" w:hAnsi="Tahoma" w:cs="Tahoma"/>
          <w:sz w:val="20"/>
          <w:szCs w:val="20"/>
        </w:rPr>
        <w:t xml:space="preserve"> dle </w:t>
      </w:r>
      <w:r w:rsidR="0048458A">
        <w:rPr>
          <w:rFonts w:ascii="Tahoma" w:hAnsi="Tahoma" w:cs="Tahoma"/>
          <w:sz w:val="20"/>
          <w:szCs w:val="20"/>
        </w:rPr>
        <w:br/>
      </w:r>
      <w:r w:rsidR="00653C49">
        <w:rPr>
          <w:rFonts w:ascii="Tahoma" w:hAnsi="Tahoma" w:cs="Tahoma"/>
          <w:sz w:val="20"/>
          <w:szCs w:val="20"/>
        </w:rPr>
        <w:t xml:space="preserve">článku IV. </w:t>
      </w:r>
      <w:r w:rsidR="0042387F">
        <w:rPr>
          <w:rFonts w:ascii="Tahoma" w:hAnsi="Tahoma" w:cs="Tahoma"/>
          <w:sz w:val="20"/>
          <w:szCs w:val="20"/>
        </w:rPr>
        <w:t>odst.</w:t>
      </w:r>
      <w:r w:rsidR="00653C49">
        <w:rPr>
          <w:rFonts w:ascii="Tahoma" w:hAnsi="Tahoma" w:cs="Tahoma"/>
          <w:sz w:val="20"/>
          <w:szCs w:val="20"/>
        </w:rPr>
        <w:t xml:space="preserve"> 1.</w:t>
      </w:r>
      <w:r w:rsidR="0042387F">
        <w:rPr>
          <w:rFonts w:ascii="Tahoma" w:hAnsi="Tahoma" w:cs="Tahoma"/>
          <w:sz w:val="20"/>
          <w:szCs w:val="20"/>
        </w:rPr>
        <w:t xml:space="preserve"> této smlouvy</w:t>
      </w:r>
      <w:r w:rsidRPr="00AB2206">
        <w:rPr>
          <w:rFonts w:ascii="Tahoma" w:hAnsi="Tahoma" w:cs="Tahoma"/>
          <w:sz w:val="20"/>
          <w:szCs w:val="20"/>
        </w:rPr>
        <w:t xml:space="preserve">, je povinen zaplatit kupujícímu smluvní pokutu ve výši </w:t>
      </w:r>
      <w:r w:rsidR="008A21E0">
        <w:rPr>
          <w:rFonts w:ascii="Tahoma" w:hAnsi="Tahoma" w:cs="Tahoma"/>
          <w:sz w:val="20"/>
          <w:szCs w:val="20"/>
        </w:rPr>
        <w:br/>
      </w:r>
      <w:r w:rsidRPr="00AB2206">
        <w:rPr>
          <w:rFonts w:ascii="Tahoma" w:hAnsi="Tahoma" w:cs="Tahoma"/>
          <w:sz w:val="20"/>
          <w:szCs w:val="20"/>
        </w:rPr>
        <w:t>0,05 % z kupní ceny za každý započatý den prodlení</w:t>
      </w:r>
      <w:r w:rsidR="00653C49">
        <w:rPr>
          <w:rFonts w:ascii="Tahoma" w:hAnsi="Tahoma" w:cs="Tahoma"/>
          <w:sz w:val="20"/>
          <w:szCs w:val="20"/>
        </w:rPr>
        <w:t xml:space="preserve"> </w:t>
      </w:r>
      <w:r w:rsidR="00EE61B5" w:rsidRPr="00AB2206">
        <w:rPr>
          <w:rFonts w:ascii="Tahoma" w:hAnsi="Tahoma" w:cs="Tahoma"/>
          <w:sz w:val="20"/>
          <w:szCs w:val="20"/>
        </w:rPr>
        <w:t>včetně DPH.</w:t>
      </w:r>
    </w:p>
    <w:p w14:paraId="26487F39" w14:textId="77777777" w:rsidR="00EE61B5" w:rsidRPr="00AB2206" w:rsidRDefault="00EE61B5" w:rsidP="00BC571A">
      <w:pPr>
        <w:pStyle w:val="Odstavecseseznamem"/>
        <w:numPr>
          <w:ilvl w:val="0"/>
          <w:numId w:val="9"/>
        </w:numPr>
        <w:tabs>
          <w:tab w:val="clear" w:pos="283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na kupujícím úrok z prodlení </w:t>
      </w:r>
      <w:r w:rsidR="00574C4E" w:rsidRPr="00AB2206">
        <w:rPr>
          <w:rFonts w:ascii="Tahoma" w:hAnsi="Tahoma" w:cs="Tahoma"/>
          <w:sz w:val="20"/>
          <w:szCs w:val="20"/>
        </w:rPr>
        <w:t>v zákonem stanovené výši</w:t>
      </w:r>
      <w:r w:rsidR="00574C4E" w:rsidRPr="00AB2206">
        <w:rPr>
          <w:rFonts w:ascii="Tahoma" w:hAnsi="Tahoma" w:cs="Tahoma"/>
          <w:color w:val="FF0000"/>
          <w:sz w:val="20"/>
          <w:szCs w:val="20"/>
        </w:rPr>
        <w:t xml:space="preserve"> </w:t>
      </w:r>
      <w:r w:rsidR="00574C4E" w:rsidRPr="00AB2206">
        <w:rPr>
          <w:rFonts w:ascii="Tahoma" w:hAnsi="Tahoma" w:cs="Tahoma"/>
          <w:sz w:val="20"/>
          <w:szCs w:val="20"/>
        </w:rPr>
        <w:t>z dl</w:t>
      </w:r>
      <w:r w:rsidRPr="00AB2206">
        <w:rPr>
          <w:rFonts w:ascii="Tahoma" w:hAnsi="Tahoma" w:cs="Tahoma"/>
          <w:sz w:val="20"/>
          <w:szCs w:val="20"/>
        </w:rPr>
        <w:t>užné částky</w:t>
      </w:r>
      <w:r w:rsidR="00B21598">
        <w:rPr>
          <w:rFonts w:ascii="Tahoma" w:hAnsi="Tahoma" w:cs="Tahoma"/>
          <w:sz w:val="20"/>
          <w:szCs w:val="20"/>
        </w:rPr>
        <w:t>,</w:t>
      </w:r>
      <w:r w:rsidRPr="00AB2206">
        <w:rPr>
          <w:rFonts w:ascii="Tahoma" w:hAnsi="Tahoma" w:cs="Tahoma"/>
          <w:sz w:val="20"/>
          <w:szCs w:val="20"/>
        </w:rPr>
        <w:t xml:space="preserve"> a to až do úplného zaplacení dlužné částky.</w:t>
      </w:r>
    </w:p>
    <w:p w14:paraId="46458419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3E99D7A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14:paraId="644B4ED3" w14:textId="77777777"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14:paraId="381BD815" w14:textId="77777777" w:rsidR="008A21E0" w:rsidRDefault="008A21E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F3D78E5" w14:textId="77777777" w:rsidR="00B035C3" w:rsidRPr="004F38B1" w:rsidRDefault="00B035C3" w:rsidP="008A21E0">
      <w:pPr>
        <w:pStyle w:val="Smlouva-slo"/>
        <w:numPr>
          <w:ilvl w:val="0"/>
          <w:numId w:val="22"/>
        </w:numPr>
        <w:spacing w:before="0"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</w:t>
      </w:r>
      <w:r w:rsidR="008A21E0">
        <w:rPr>
          <w:rFonts w:ascii="Tahoma" w:hAnsi="Tahoma" w:cs="Tahoma"/>
          <w:sz w:val="20"/>
        </w:rPr>
        <w:br/>
      </w:r>
      <w:r w:rsidRPr="004F38B1">
        <w:rPr>
          <w:rFonts w:ascii="Tahoma" w:hAnsi="Tahoma" w:cs="Tahoma"/>
          <w:sz w:val="20"/>
        </w:rPr>
        <w:t xml:space="preserve">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</w:t>
      </w:r>
      <w:r w:rsidRPr="004F38B1">
        <w:rPr>
          <w:rFonts w:ascii="Tahoma" w:hAnsi="Tahoma" w:cs="Tahoma"/>
          <w:sz w:val="20"/>
        </w:rPr>
        <w:lastRenderedPageBreak/>
        <w:t>uvedená povinnost se uplatní obdobně.</w:t>
      </w:r>
    </w:p>
    <w:p w14:paraId="1453A5D0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14:paraId="680CCE03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</w:t>
      </w:r>
      <w:r w:rsidR="008A21E0">
        <w:rPr>
          <w:rFonts w:ascii="Tahoma" w:hAnsi="Tahoma" w:cs="Tahoma"/>
          <w:sz w:val="20"/>
        </w:rPr>
        <w:br/>
      </w:r>
      <w:r w:rsidRPr="004F38B1">
        <w:rPr>
          <w:rFonts w:ascii="Tahoma" w:hAnsi="Tahoma" w:cs="Tahoma"/>
          <w:sz w:val="20"/>
        </w:rPr>
        <w:t>a povinnosti zachovat důvěrnost informací souvisejících s plněním dle této smlouvy.</w:t>
      </w:r>
    </w:p>
    <w:p w14:paraId="4E4844CC" w14:textId="77777777" w:rsidR="00B035C3" w:rsidRPr="00753166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14:paraId="45841BAD" w14:textId="77777777" w:rsidR="00B035C3" w:rsidRDefault="00B035C3" w:rsidP="00B035C3">
      <w:pPr>
        <w:pStyle w:val="Smlouva-slo"/>
        <w:spacing w:line="276" w:lineRule="auto"/>
        <w:ind w:left="357"/>
        <w:rPr>
          <w:rFonts w:ascii="Tahoma" w:eastAsia="Tahoma" w:hAnsi="Tahoma" w:cs="Tahoma"/>
          <w:sz w:val="20"/>
        </w:rPr>
      </w:pPr>
    </w:p>
    <w:p w14:paraId="7826A651" w14:textId="77777777"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14:paraId="7DC775E5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6802D7C9" w14:textId="77777777" w:rsidR="008A21E0" w:rsidRPr="00FC0380" w:rsidRDefault="008A21E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01D3520" w14:textId="77777777" w:rsidR="00B035C3" w:rsidRPr="00145B94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0B8BF72D" w14:textId="77777777"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13963811" w14:textId="77777777"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04F198EE" w14:textId="77777777" w:rsidR="00B035C3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14:paraId="43849124" w14:textId="77777777"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FC0F223" w14:textId="77777777"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3815FD4F" w14:textId="77777777" w:rsidR="00EE61B5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3EA39C50" w14:textId="77777777" w:rsidR="008A21E0" w:rsidRPr="002E01D8" w:rsidRDefault="008A21E0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5B07006" w14:textId="77777777" w:rsidR="00EE61B5" w:rsidRDefault="00EE61B5" w:rsidP="00434BAC">
      <w:pPr>
        <w:pStyle w:val="Odstavecseseznamem"/>
        <w:numPr>
          <w:ilvl w:val="3"/>
          <w:numId w:val="9"/>
        </w:numPr>
        <w:tabs>
          <w:tab w:val="left" w:pos="360"/>
          <w:tab w:val="left" w:pos="426"/>
        </w:tabs>
        <w:spacing w:before="120" w:after="120"/>
        <w:ind w:left="284" w:hanging="284"/>
        <w:contextualSpacing w:val="0"/>
        <w:jc w:val="both"/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</w:pPr>
      <w:r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Tato smlouva 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se uzavírá </w:t>
      </w:r>
      <w:r w:rsidR="00FD2C28" w:rsidRPr="00FD2C28">
        <w:rPr>
          <w:rFonts w:ascii="Tahoma" w:eastAsia="Times New Roman" w:hAnsi="Tahoma" w:cs="Tahoma"/>
          <w:b/>
          <w:snapToGrid w:val="0"/>
          <w:kern w:val="0"/>
          <w:sz w:val="20"/>
          <w:szCs w:val="20"/>
          <w:lang w:eastAsia="cs-CZ" w:bidi="ar-SA"/>
        </w:rPr>
        <w:t xml:space="preserve">na dobu určitou, a to na období </w:t>
      </w:r>
      <w:r w:rsidR="008A21E0">
        <w:rPr>
          <w:rFonts w:ascii="Tahoma" w:eastAsia="Times New Roman" w:hAnsi="Tahoma" w:cs="Tahoma"/>
          <w:b/>
          <w:snapToGrid w:val="0"/>
          <w:kern w:val="0"/>
          <w:sz w:val="20"/>
          <w:szCs w:val="20"/>
          <w:lang w:eastAsia="cs-CZ" w:bidi="ar-SA"/>
        </w:rPr>
        <w:t>2</w:t>
      </w:r>
      <w:r w:rsidR="00FD2C28" w:rsidRPr="00FD2C28">
        <w:rPr>
          <w:rFonts w:ascii="Tahoma" w:eastAsia="Times New Roman" w:hAnsi="Tahoma" w:cs="Tahoma"/>
          <w:b/>
          <w:snapToGrid w:val="0"/>
          <w:kern w:val="0"/>
          <w:sz w:val="20"/>
          <w:szCs w:val="20"/>
          <w:lang w:eastAsia="cs-CZ" w:bidi="ar-SA"/>
        </w:rPr>
        <w:t xml:space="preserve"> let ode dne nabytí účinnosti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 této smlouvy s možností prodloužení dodatkem</w:t>
      </w:r>
      <w:r w:rsidR="00475E9D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 po vzájemné domluvě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>.</w:t>
      </w:r>
    </w:p>
    <w:p w14:paraId="7CC64A2D" w14:textId="77777777" w:rsidR="00FD2C28" w:rsidRPr="00FD2C28" w:rsidRDefault="00FD2C28" w:rsidP="00D56315">
      <w:pPr>
        <w:pStyle w:val="Odstavecseseznamem"/>
        <w:numPr>
          <w:ilvl w:val="3"/>
          <w:numId w:val="9"/>
        </w:numPr>
        <w:tabs>
          <w:tab w:val="left" w:pos="360"/>
          <w:tab w:val="left" w:pos="426"/>
        </w:tabs>
        <w:spacing w:after="120"/>
        <w:ind w:left="284" w:hanging="284"/>
        <w:contextualSpacing w:val="0"/>
        <w:jc w:val="both"/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</w:pPr>
      <w:r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>Tato smlouva zaniká:</w:t>
      </w:r>
    </w:p>
    <w:p w14:paraId="5E18A2CC" w14:textId="77777777" w:rsidR="00EE61B5" w:rsidRPr="002E01D8" w:rsidRDefault="00EE61B5" w:rsidP="00D56315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/>
        <w:ind w:left="896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písemnou dohodou smluvních stran,</w:t>
      </w:r>
    </w:p>
    <w:p w14:paraId="722A4F16" w14:textId="77777777" w:rsidR="00EE61B5" w:rsidRPr="002E01D8" w:rsidRDefault="00EE61B5" w:rsidP="00D56315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/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  <w:r w:rsidR="00FD2C28">
        <w:rPr>
          <w:rFonts w:ascii="Tahoma" w:eastAsia="Calibri" w:hAnsi="Tahoma" w:cs="Tahoma"/>
          <w:sz w:val="20"/>
          <w:szCs w:val="20"/>
        </w:rPr>
        <w:t>:</w:t>
      </w:r>
    </w:p>
    <w:p w14:paraId="5C28FD2C" w14:textId="77777777" w:rsidR="00EE61B5" w:rsidRPr="002E01D8" w:rsidRDefault="00EE61B5" w:rsidP="00D56315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ve stanovené době plnění, </w:t>
      </w:r>
    </w:p>
    <w:p w14:paraId="2B855654" w14:textId="77777777" w:rsidR="00EE61B5" w:rsidRPr="002E01D8" w:rsidRDefault="00EE61B5" w:rsidP="00D56315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354DAA16" w14:textId="77777777" w:rsidR="00EE61B5" w:rsidRPr="002E01D8" w:rsidRDefault="00EE61B5" w:rsidP="00D56315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14:paraId="7F82D219" w14:textId="77777777" w:rsidR="00574C4E" w:rsidRPr="00B035EC" w:rsidRDefault="00574C4E" w:rsidP="00434BAC">
      <w:pPr>
        <w:pStyle w:val="Import3"/>
        <w:numPr>
          <w:ilvl w:val="0"/>
          <w:numId w:val="8"/>
        </w:numPr>
        <w:tabs>
          <w:tab w:val="clear" w:pos="437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851"/>
          <w:tab w:val="left" w:pos="1260"/>
          <w:tab w:val="left" w:pos="1985"/>
        </w:tabs>
        <w:spacing w:after="120"/>
        <w:ind w:left="851" w:hanging="284"/>
        <w:jc w:val="both"/>
        <w:rPr>
          <w:rFonts w:ascii="Tahoma" w:eastAsia="Calibri" w:hAnsi="Tahoma" w:cs="Tahoma"/>
          <w:sz w:val="20"/>
          <w:szCs w:val="20"/>
        </w:rPr>
      </w:pPr>
      <w:r w:rsidRPr="00B035EC">
        <w:rPr>
          <w:rFonts w:ascii="Tahoma" w:eastAsia="Calibri" w:hAnsi="Tahoma" w:cs="Tahoma"/>
          <w:sz w:val="20"/>
          <w:szCs w:val="20"/>
        </w:rPr>
        <w:t xml:space="preserve">Písemnou výpovědí, kteroukoliv ze smluvních stran, výpovědní lhůta činí </w:t>
      </w:r>
      <w:r w:rsidR="00FD2C28">
        <w:rPr>
          <w:rFonts w:ascii="Tahoma" w:eastAsia="Calibri" w:hAnsi="Tahoma" w:cs="Tahoma"/>
          <w:sz w:val="20"/>
          <w:szCs w:val="20"/>
        </w:rPr>
        <w:t>2</w:t>
      </w:r>
      <w:r w:rsidR="002F7444">
        <w:rPr>
          <w:rFonts w:ascii="Tahoma" w:eastAsia="Calibri" w:hAnsi="Tahoma" w:cs="Tahoma"/>
          <w:sz w:val="20"/>
          <w:szCs w:val="20"/>
        </w:rPr>
        <w:t xml:space="preserve"> </w:t>
      </w:r>
      <w:r w:rsidR="009322E8">
        <w:rPr>
          <w:rFonts w:ascii="Tahoma" w:eastAsia="Calibri" w:hAnsi="Tahoma" w:cs="Tahoma"/>
          <w:sz w:val="20"/>
          <w:szCs w:val="20"/>
        </w:rPr>
        <w:t>měsíců</w:t>
      </w:r>
      <w:r w:rsidRPr="00B035EC">
        <w:rPr>
          <w:rFonts w:ascii="Tahoma" w:eastAsia="Calibri" w:hAnsi="Tahoma" w:cs="Tahoma"/>
          <w:sz w:val="20"/>
          <w:szCs w:val="20"/>
        </w:rPr>
        <w:t xml:space="preserve"> a začíná plynout od prvního dne měsíce následujícího po doručení výpovědi druhé smluvní straně.</w:t>
      </w:r>
    </w:p>
    <w:p w14:paraId="58C30D8E" w14:textId="77777777" w:rsidR="008A21E0" w:rsidRDefault="008A21E0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EBDFD2" w14:textId="77777777" w:rsidR="008A21E0" w:rsidRDefault="008A21E0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CF64FF5" w14:textId="77777777" w:rsidR="008A21E0" w:rsidRDefault="008A21E0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C22EF20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lastRenderedPageBreak/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233C7312" w14:textId="77777777" w:rsidR="00EE61B5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1174836" w14:textId="77777777" w:rsidR="008A21E0" w:rsidRPr="002E01D8" w:rsidRDefault="008A21E0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3A352E" w14:textId="77777777" w:rsidR="006B7646" w:rsidRPr="003D07FB" w:rsidRDefault="006B7646" w:rsidP="008A21E0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5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14:paraId="3516FF53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14:paraId="4E4DF648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14:paraId="1FEE0DE9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14:paraId="0A9870C0" w14:textId="77777777" w:rsidR="006B7646" w:rsidRPr="000241C5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6" w:name="_Hlk82415956"/>
      <w:bookmarkEnd w:id="5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14:paraId="152A25B5" w14:textId="77777777"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14:paraId="0CF54DD3" w14:textId="77777777"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14:paraId="39B74C8D" w14:textId="77777777" w:rsidR="006B7646" w:rsidRPr="00205454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6"/>
    <w:p w14:paraId="4800A034" w14:textId="77777777" w:rsidR="006B7646" w:rsidRPr="004979E1" w:rsidRDefault="006B7646" w:rsidP="00030EBB">
      <w:pPr>
        <w:widowControl/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14:paraId="5B0EC2B5" w14:textId="77777777"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14:paraId="60506F18" w14:textId="77777777" w:rsidR="00D43E8E" w:rsidRDefault="00D43E8E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4"/>
        <w:gridCol w:w="4586"/>
      </w:tblGrid>
      <w:tr w:rsidR="00D43E8E" w:rsidRPr="00633675" w14:paraId="32737167" w14:textId="77777777" w:rsidTr="00763000">
        <w:tc>
          <w:tcPr>
            <w:tcW w:w="4581" w:type="dxa"/>
          </w:tcPr>
          <w:p w14:paraId="08C2E7A7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14:paraId="383DB5C7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</w:t>
            </w:r>
            <w:r w:rsidRPr="00633675">
              <w:rPr>
                <w:rFonts w:ascii="Tahoma" w:hAnsi="Tahoma" w:cs="Tahoma"/>
                <w:sz w:val="20"/>
                <w:szCs w:val="20"/>
              </w:rPr>
              <w:t>dne ………</w:t>
            </w:r>
          </w:p>
        </w:tc>
      </w:tr>
      <w:tr w:rsidR="00D43E8E" w:rsidRPr="00633675" w14:paraId="3F6A5A80" w14:textId="77777777" w:rsidTr="00763000">
        <w:tc>
          <w:tcPr>
            <w:tcW w:w="4581" w:type="dxa"/>
          </w:tcPr>
          <w:p w14:paraId="11D25BA8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E12EA56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6B4C8D2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089097E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3DDB26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</w:t>
            </w:r>
          </w:p>
        </w:tc>
        <w:tc>
          <w:tcPr>
            <w:tcW w:w="4705" w:type="dxa"/>
          </w:tcPr>
          <w:p w14:paraId="140D195F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5931FD0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8384149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2D5560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3312521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14:paraId="6E1EAF8C" w14:textId="77777777"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2A417FE7" w14:textId="77777777" w:rsidR="00D43E8E" w:rsidRPr="00633675" w:rsidRDefault="00D43E8E" w:rsidP="00D43E8E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</w:p>
    <w:p w14:paraId="2DD48614" w14:textId="77777777" w:rsidR="00D43E8E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070892">
          <w:footerReference w:type="default" r:id="rId13"/>
          <w:headerReference w:type="first" r:id="rId14"/>
          <w:footerReference w:type="first" r:id="rId15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4D2879D8" w14:textId="77777777" w:rsidR="001E046B" w:rsidRP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lastRenderedPageBreak/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sectPr w:rsidR="001E046B" w:rsidRPr="001E046B" w:rsidSect="00D43E8E"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AABD3F" w16cex:dateUtc="2026-01-26T07:41:00Z"/>
  <w16cex:commentExtensible w16cex:durableId="2FC98694" w16cex:dateUtc="2026-01-26T07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FF71F" w14:textId="77777777" w:rsidR="00E8042C" w:rsidRDefault="00E8042C" w:rsidP="00CA4C3A">
      <w:r>
        <w:separator/>
      </w:r>
    </w:p>
  </w:endnote>
  <w:endnote w:type="continuationSeparator" w:id="0">
    <w:p w14:paraId="6FAC83A0" w14:textId="77777777" w:rsidR="00E8042C" w:rsidRDefault="00E8042C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14:paraId="0E656977" w14:textId="77777777" w:rsidR="00BD67D0" w:rsidRDefault="00E8042C" w:rsidP="00BD67D0">
            <w:pPr>
              <w:pStyle w:val="Zpat"/>
            </w:pPr>
            <w:r>
              <w:pict w14:anchorId="6D9127E9">
                <v:rect id="_x0000_i1025" style="width:0;height:1.5pt" o:hralign="center" o:hrstd="t" o:hr="t" fillcolor="#a0a0a0" stroked="f"/>
              </w:pict>
            </w:r>
          </w:p>
          <w:p w14:paraId="638BBD24" w14:textId="77777777" w:rsidR="00BD67D0" w:rsidRPr="00070892" w:rsidRDefault="00BD67D0">
            <w:pPr>
              <w:pStyle w:val="Zpat"/>
              <w:jc w:val="center"/>
              <w:rPr>
                <w:rFonts w:ascii="Tahoma" w:hAnsi="Tahoma" w:cs="Tahoma"/>
                <w:b/>
                <w:sz w:val="16"/>
                <w:szCs w:val="24"/>
              </w:rPr>
            </w:pPr>
            <w:r w:rsidRPr="00070892">
              <w:rPr>
                <w:rFonts w:ascii="Tahoma" w:hAnsi="Tahoma" w:cs="Tahoma"/>
                <w:sz w:val="16"/>
              </w:rPr>
              <w:t xml:space="preserve">Stránka </w:t>
            </w:r>
            <w:r w:rsidR="00AC2D91" w:rsidRPr="00070892">
              <w:rPr>
                <w:rFonts w:ascii="Tahoma" w:hAnsi="Tahoma" w:cs="Tahoma"/>
                <w:b/>
                <w:sz w:val="16"/>
                <w:szCs w:val="24"/>
              </w:rPr>
              <w:fldChar w:fldCharType="begin"/>
            </w:r>
            <w:r w:rsidRPr="00070892">
              <w:rPr>
                <w:rFonts w:ascii="Tahoma" w:hAnsi="Tahoma" w:cs="Tahoma"/>
                <w:b/>
                <w:sz w:val="16"/>
              </w:rPr>
              <w:instrText>PAGE</w:instrText>
            </w:r>
            <w:r w:rsidR="00AC2D91" w:rsidRPr="00070892">
              <w:rPr>
                <w:rFonts w:ascii="Tahoma" w:hAnsi="Tahoma" w:cs="Tahoma"/>
                <w:b/>
                <w:sz w:val="16"/>
                <w:szCs w:val="24"/>
              </w:rPr>
              <w:fldChar w:fldCharType="separate"/>
            </w:r>
            <w:r w:rsidR="00E5040F" w:rsidRPr="00070892">
              <w:rPr>
                <w:rFonts w:ascii="Tahoma" w:hAnsi="Tahoma" w:cs="Tahoma"/>
                <w:b/>
                <w:noProof/>
                <w:sz w:val="16"/>
              </w:rPr>
              <w:t>3</w:t>
            </w:r>
            <w:r w:rsidR="00AC2D91" w:rsidRPr="00070892">
              <w:rPr>
                <w:rFonts w:ascii="Tahoma" w:hAnsi="Tahoma" w:cs="Tahoma"/>
                <w:b/>
                <w:sz w:val="16"/>
                <w:szCs w:val="24"/>
              </w:rPr>
              <w:fldChar w:fldCharType="end"/>
            </w:r>
            <w:r w:rsidRPr="00070892">
              <w:rPr>
                <w:rFonts w:ascii="Tahoma" w:hAnsi="Tahoma" w:cs="Tahoma"/>
                <w:sz w:val="16"/>
              </w:rPr>
              <w:t xml:space="preserve"> z </w:t>
            </w:r>
            <w:r w:rsidR="00AC2D91" w:rsidRPr="00070892">
              <w:rPr>
                <w:rFonts w:ascii="Tahoma" w:hAnsi="Tahoma" w:cs="Tahoma"/>
                <w:b/>
                <w:sz w:val="16"/>
                <w:szCs w:val="24"/>
              </w:rPr>
              <w:fldChar w:fldCharType="begin"/>
            </w:r>
            <w:r w:rsidRPr="00070892">
              <w:rPr>
                <w:rFonts w:ascii="Tahoma" w:hAnsi="Tahoma" w:cs="Tahoma"/>
                <w:b/>
                <w:sz w:val="16"/>
              </w:rPr>
              <w:instrText>NUMPAGES</w:instrText>
            </w:r>
            <w:r w:rsidR="00AC2D91" w:rsidRPr="00070892">
              <w:rPr>
                <w:rFonts w:ascii="Tahoma" w:hAnsi="Tahoma" w:cs="Tahoma"/>
                <w:b/>
                <w:sz w:val="16"/>
                <w:szCs w:val="24"/>
              </w:rPr>
              <w:fldChar w:fldCharType="separate"/>
            </w:r>
            <w:r w:rsidR="00E5040F" w:rsidRPr="00070892">
              <w:rPr>
                <w:rFonts w:ascii="Tahoma" w:hAnsi="Tahoma" w:cs="Tahoma"/>
                <w:b/>
                <w:noProof/>
                <w:sz w:val="16"/>
              </w:rPr>
              <w:t>7</w:t>
            </w:r>
            <w:r w:rsidR="00AC2D91" w:rsidRPr="00070892">
              <w:rPr>
                <w:rFonts w:ascii="Tahoma" w:hAnsi="Tahoma" w:cs="Tahoma"/>
                <w:b/>
                <w:sz w:val="16"/>
                <w:szCs w:val="24"/>
              </w:rPr>
              <w:fldChar w:fldCharType="end"/>
            </w:r>
          </w:p>
          <w:p w14:paraId="02E3EFCA" w14:textId="77777777" w:rsidR="00BD67D0" w:rsidRPr="007133E4" w:rsidRDefault="00BD67D0" w:rsidP="00BD67D0">
            <w:pPr>
              <w:pStyle w:val="Zpat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tab/>
            </w:r>
            <w:r w:rsidR="007133E4" w:rsidRPr="00070892">
              <w:rPr>
                <w:rFonts w:ascii="Tahoma" w:hAnsi="Tahoma" w:cs="Tahoma"/>
                <w:sz w:val="16"/>
                <w:szCs w:val="20"/>
              </w:rPr>
              <w:t>OPA/</w:t>
            </w:r>
            <w:r w:rsidR="00070892">
              <w:rPr>
                <w:rFonts w:ascii="Tahoma" w:hAnsi="Tahoma" w:cs="Tahoma"/>
                <w:sz w:val="16"/>
                <w:szCs w:val="20"/>
              </w:rPr>
              <w:t>PRO</w:t>
            </w:r>
            <w:r w:rsidR="007133E4" w:rsidRPr="00070892">
              <w:rPr>
                <w:rFonts w:ascii="Tahoma" w:hAnsi="Tahoma" w:cs="Tahoma"/>
                <w:sz w:val="16"/>
                <w:szCs w:val="20"/>
              </w:rPr>
              <w:t>/202</w:t>
            </w:r>
            <w:r w:rsidR="00070892">
              <w:rPr>
                <w:rFonts w:ascii="Tahoma" w:hAnsi="Tahoma" w:cs="Tahoma"/>
                <w:sz w:val="16"/>
                <w:szCs w:val="20"/>
              </w:rPr>
              <w:t>6</w:t>
            </w:r>
            <w:r w:rsidR="007133E4" w:rsidRPr="00070892">
              <w:rPr>
                <w:rFonts w:ascii="Tahoma" w:hAnsi="Tahoma" w:cs="Tahoma"/>
                <w:sz w:val="16"/>
                <w:szCs w:val="20"/>
              </w:rPr>
              <w:t>/</w:t>
            </w:r>
            <w:r w:rsidR="00F45122" w:rsidRPr="00070892">
              <w:rPr>
                <w:rFonts w:ascii="Tahoma" w:hAnsi="Tahoma" w:cs="Tahoma"/>
                <w:sz w:val="16"/>
                <w:szCs w:val="20"/>
              </w:rPr>
              <w:t>0</w:t>
            </w:r>
            <w:r w:rsidR="00070892">
              <w:rPr>
                <w:rFonts w:ascii="Tahoma" w:hAnsi="Tahoma" w:cs="Tahoma"/>
                <w:sz w:val="16"/>
                <w:szCs w:val="20"/>
              </w:rPr>
              <w:t>1</w:t>
            </w:r>
            <w:r w:rsidR="007133E4" w:rsidRPr="00070892">
              <w:rPr>
                <w:rFonts w:ascii="Tahoma" w:hAnsi="Tahoma" w:cs="Tahoma"/>
                <w:sz w:val="16"/>
                <w:szCs w:val="20"/>
              </w:rPr>
              <w:t>/</w:t>
            </w:r>
            <w:proofErr w:type="spellStart"/>
            <w:r w:rsidR="00070892">
              <w:rPr>
                <w:rFonts w:ascii="Tahoma" w:hAnsi="Tahoma" w:cs="Tahoma"/>
                <w:sz w:val="16"/>
                <w:szCs w:val="20"/>
              </w:rPr>
              <w:t>elektrochirurgicke_jednotky</w:t>
            </w:r>
            <w:proofErr w:type="spellEnd"/>
          </w:p>
          <w:p w14:paraId="7D72C676" w14:textId="77777777" w:rsidR="00BD67D0" w:rsidRDefault="00E8042C">
            <w:pPr>
              <w:pStyle w:val="Zpat"/>
              <w:jc w:val="cen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70712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0D1511" w14:textId="77777777" w:rsidR="00070892" w:rsidRPr="0039086C" w:rsidRDefault="00070892">
            <w:pPr>
              <w:pStyle w:val="Zpat"/>
              <w:jc w:val="center"/>
              <w:rPr>
                <w:rFonts w:ascii="Tahoma" w:hAnsi="Tahoma" w:cs="Tahoma"/>
                <w:b/>
                <w:bCs/>
                <w:sz w:val="16"/>
                <w:szCs w:val="24"/>
              </w:rPr>
            </w:pPr>
            <w:r w:rsidRPr="0039086C">
              <w:rPr>
                <w:rFonts w:ascii="Tahoma" w:hAnsi="Tahoma" w:cs="Tahoma"/>
                <w:sz w:val="16"/>
              </w:rPr>
              <w:t xml:space="preserve">Stránka </w:t>
            </w:r>
            <w:r w:rsidRPr="0039086C">
              <w:rPr>
                <w:rFonts w:ascii="Tahoma" w:hAnsi="Tahoma" w:cs="Tahoma"/>
                <w:b/>
                <w:bCs/>
                <w:sz w:val="16"/>
                <w:szCs w:val="24"/>
              </w:rPr>
              <w:fldChar w:fldCharType="begin"/>
            </w:r>
            <w:r w:rsidRPr="0039086C">
              <w:rPr>
                <w:rFonts w:ascii="Tahoma" w:hAnsi="Tahoma" w:cs="Tahoma"/>
                <w:b/>
                <w:bCs/>
                <w:sz w:val="16"/>
              </w:rPr>
              <w:instrText>PAGE</w:instrText>
            </w:r>
            <w:r w:rsidRPr="0039086C">
              <w:rPr>
                <w:rFonts w:ascii="Tahoma" w:hAnsi="Tahoma" w:cs="Tahoma"/>
                <w:b/>
                <w:bCs/>
                <w:sz w:val="16"/>
                <w:szCs w:val="24"/>
              </w:rPr>
              <w:fldChar w:fldCharType="separate"/>
            </w:r>
            <w:r w:rsidRPr="0039086C">
              <w:rPr>
                <w:rFonts w:ascii="Tahoma" w:hAnsi="Tahoma" w:cs="Tahoma"/>
                <w:b/>
                <w:bCs/>
                <w:sz w:val="16"/>
              </w:rPr>
              <w:t>2</w:t>
            </w:r>
            <w:r w:rsidRPr="0039086C">
              <w:rPr>
                <w:rFonts w:ascii="Tahoma" w:hAnsi="Tahoma" w:cs="Tahoma"/>
                <w:b/>
                <w:bCs/>
                <w:sz w:val="16"/>
                <w:szCs w:val="24"/>
              </w:rPr>
              <w:fldChar w:fldCharType="end"/>
            </w:r>
            <w:r w:rsidRPr="0039086C">
              <w:rPr>
                <w:rFonts w:ascii="Tahoma" w:hAnsi="Tahoma" w:cs="Tahoma"/>
                <w:sz w:val="16"/>
              </w:rPr>
              <w:t xml:space="preserve"> z </w:t>
            </w:r>
            <w:r w:rsidRPr="0039086C">
              <w:rPr>
                <w:rFonts w:ascii="Tahoma" w:hAnsi="Tahoma" w:cs="Tahoma"/>
                <w:b/>
                <w:bCs/>
                <w:sz w:val="16"/>
                <w:szCs w:val="24"/>
              </w:rPr>
              <w:fldChar w:fldCharType="begin"/>
            </w:r>
            <w:r w:rsidRPr="0039086C">
              <w:rPr>
                <w:rFonts w:ascii="Tahoma" w:hAnsi="Tahoma" w:cs="Tahoma"/>
                <w:b/>
                <w:bCs/>
                <w:sz w:val="16"/>
              </w:rPr>
              <w:instrText>NUMPAGES</w:instrText>
            </w:r>
            <w:r w:rsidRPr="0039086C">
              <w:rPr>
                <w:rFonts w:ascii="Tahoma" w:hAnsi="Tahoma" w:cs="Tahoma"/>
                <w:b/>
                <w:bCs/>
                <w:sz w:val="16"/>
                <w:szCs w:val="24"/>
              </w:rPr>
              <w:fldChar w:fldCharType="separate"/>
            </w:r>
            <w:r w:rsidRPr="0039086C">
              <w:rPr>
                <w:rFonts w:ascii="Tahoma" w:hAnsi="Tahoma" w:cs="Tahoma"/>
                <w:b/>
                <w:bCs/>
                <w:sz w:val="16"/>
              </w:rPr>
              <w:t>2</w:t>
            </w:r>
            <w:r w:rsidRPr="0039086C">
              <w:rPr>
                <w:rFonts w:ascii="Tahoma" w:hAnsi="Tahoma" w:cs="Tahoma"/>
                <w:b/>
                <w:bCs/>
                <w:sz w:val="16"/>
                <w:szCs w:val="24"/>
              </w:rPr>
              <w:fldChar w:fldCharType="end"/>
            </w:r>
          </w:p>
          <w:p w14:paraId="54EDECDD" w14:textId="77777777" w:rsidR="00070892" w:rsidRDefault="00070892" w:rsidP="00070892">
            <w:pPr>
              <w:pStyle w:val="Zpat"/>
              <w:jc w:val="right"/>
            </w:pPr>
            <w:r w:rsidRPr="00070892">
              <w:rPr>
                <w:rFonts w:ascii="Tahoma" w:hAnsi="Tahoma" w:cs="Tahoma"/>
                <w:sz w:val="16"/>
              </w:rPr>
              <w:t>OPA/PRO/2026/01/</w:t>
            </w:r>
            <w:proofErr w:type="spellStart"/>
            <w:r w:rsidRPr="00070892">
              <w:rPr>
                <w:rFonts w:ascii="Tahoma" w:hAnsi="Tahoma" w:cs="Tahoma"/>
                <w:sz w:val="16"/>
              </w:rPr>
              <w:t>elektrochirurgicke_jednotky</w:t>
            </w:r>
            <w:proofErr w:type="spellEnd"/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F4780" w14:textId="77777777" w:rsidR="00E8042C" w:rsidRDefault="00E8042C" w:rsidP="00CA4C3A">
      <w:r>
        <w:separator/>
      </w:r>
    </w:p>
  </w:footnote>
  <w:footnote w:type="continuationSeparator" w:id="0">
    <w:p w14:paraId="2CCBAAAF" w14:textId="77777777" w:rsidR="00E8042C" w:rsidRDefault="00E8042C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E578E" w14:textId="77777777" w:rsidR="00F16F35" w:rsidRPr="00070892" w:rsidRDefault="008E52BF" w:rsidP="008E52BF">
    <w:pPr>
      <w:pStyle w:val="Zhlav"/>
      <w:rPr>
        <w:rFonts w:ascii="Tahoma" w:hAnsi="Tahoma" w:cs="Tahoma"/>
        <w:sz w:val="20"/>
      </w:rPr>
    </w:pPr>
    <w:r w:rsidRPr="00070892">
      <w:rPr>
        <w:rFonts w:ascii="Tahoma" w:hAnsi="Tahoma" w:cs="Tahoma"/>
        <w:sz w:val="20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DDF4412"/>
    <w:multiLevelType w:val="hybridMultilevel"/>
    <w:tmpl w:val="45B00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84CDE"/>
    <w:multiLevelType w:val="hybridMultilevel"/>
    <w:tmpl w:val="1382B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B1F36"/>
    <w:multiLevelType w:val="multilevel"/>
    <w:tmpl w:val="378C59C0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694C92"/>
    <w:multiLevelType w:val="hybridMultilevel"/>
    <w:tmpl w:val="DB840852"/>
    <w:lvl w:ilvl="0" w:tplc="5B94D7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337F4808"/>
    <w:multiLevelType w:val="hybridMultilevel"/>
    <w:tmpl w:val="FCCE2FEC"/>
    <w:lvl w:ilvl="0" w:tplc="C8F0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862052"/>
    <w:multiLevelType w:val="hybridMultilevel"/>
    <w:tmpl w:val="8D5C69A8"/>
    <w:lvl w:ilvl="0" w:tplc="F162B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683539D"/>
    <w:multiLevelType w:val="hybridMultilevel"/>
    <w:tmpl w:val="F1169A84"/>
    <w:lvl w:ilvl="0" w:tplc="4AA8A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B19AC"/>
    <w:multiLevelType w:val="hybridMultilevel"/>
    <w:tmpl w:val="FDDEE3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94400"/>
    <w:multiLevelType w:val="hybridMultilevel"/>
    <w:tmpl w:val="C70EE9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87BCD"/>
    <w:multiLevelType w:val="hybridMultilevel"/>
    <w:tmpl w:val="6E808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44E03"/>
    <w:multiLevelType w:val="hybridMultilevel"/>
    <w:tmpl w:val="052CE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B588B"/>
    <w:multiLevelType w:val="hybridMultilevel"/>
    <w:tmpl w:val="36BAE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F50B8"/>
    <w:multiLevelType w:val="multilevel"/>
    <w:tmpl w:val="CB6E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FEE1C8F"/>
    <w:multiLevelType w:val="hybridMultilevel"/>
    <w:tmpl w:val="873EF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16"/>
  </w:num>
  <w:num w:numId="14">
    <w:abstractNumId w:val="13"/>
  </w:num>
  <w:num w:numId="15">
    <w:abstractNumId w:val="24"/>
  </w:num>
  <w:num w:numId="16">
    <w:abstractNumId w:val="0"/>
  </w:num>
  <w:num w:numId="17">
    <w:abstractNumId w:val="14"/>
  </w:num>
  <w:num w:numId="18">
    <w:abstractNumId w:val="31"/>
  </w:num>
  <w:num w:numId="19">
    <w:abstractNumId w:val="30"/>
  </w:num>
  <w:num w:numId="20">
    <w:abstractNumId w:val="15"/>
  </w:num>
  <w:num w:numId="21">
    <w:abstractNumId w:val="11"/>
  </w:num>
  <w:num w:numId="22">
    <w:abstractNumId w:val="22"/>
  </w:num>
  <w:num w:numId="23">
    <w:abstractNumId w:val="21"/>
  </w:num>
  <w:num w:numId="24">
    <w:abstractNumId w:val="27"/>
  </w:num>
  <w:num w:numId="25">
    <w:abstractNumId w:val="28"/>
  </w:num>
  <w:num w:numId="26">
    <w:abstractNumId w:val="23"/>
  </w:num>
  <w:num w:numId="27">
    <w:abstractNumId w:val="18"/>
  </w:num>
  <w:num w:numId="28">
    <w:abstractNumId w:val="0"/>
  </w:num>
  <w:num w:numId="29">
    <w:abstractNumId w:val="19"/>
  </w:num>
  <w:num w:numId="30">
    <w:abstractNumId w:val="17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9"/>
  </w:num>
  <w:num w:numId="35">
    <w:abstractNumId w:val="2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7ACC"/>
    <w:rsid w:val="00061793"/>
    <w:rsid w:val="00061CCF"/>
    <w:rsid w:val="000632E6"/>
    <w:rsid w:val="000654E0"/>
    <w:rsid w:val="00066FB8"/>
    <w:rsid w:val="000677D6"/>
    <w:rsid w:val="000702E1"/>
    <w:rsid w:val="00070892"/>
    <w:rsid w:val="00070B1F"/>
    <w:rsid w:val="0007174A"/>
    <w:rsid w:val="000725E7"/>
    <w:rsid w:val="00073687"/>
    <w:rsid w:val="00075205"/>
    <w:rsid w:val="000762A9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87A45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1F97"/>
    <w:rsid w:val="00204617"/>
    <w:rsid w:val="002050A1"/>
    <w:rsid w:val="00206394"/>
    <w:rsid w:val="00207034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46AB8"/>
    <w:rsid w:val="0025428F"/>
    <w:rsid w:val="00254855"/>
    <w:rsid w:val="00254B31"/>
    <w:rsid w:val="00271DE7"/>
    <w:rsid w:val="00273A4D"/>
    <w:rsid w:val="0027777F"/>
    <w:rsid w:val="0028305C"/>
    <w:rsid w:val="00283F33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6E42"/>
    <w:rsid w:val="002F7444"/>
    <w:rsid w:val="0030322A"/>
    <w:rsid w:val="00305ABB"/>
    <w:rsid w:val="00306AA6"/>
    <w:rsid w:val="003112B9"/>
    <w:rsid w:val="00312233"/>
    <w:rsid w:val="00314881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D7"/>
    <w:rsid w:val="00354012"/>
    <w:rsid w:val="00360FC2"/>
    <w:rsid w:val="00362B19"/>
    <w:rsid w:val="003636C7"/>
    <w:rsid w:val="0036426A"/>
    <w:rsid w:val="0037578F"/>
    <w:rsid w:val="00376394"/>
    <w:rsid w:val="0037660F"/>
    <w:rsid w:val="0038306C"/>
    <w:rsid w:val="003856F4"/>
    <w:rsid w:val="00385DFA"/>
    <w:rsid w:val="0039086C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272CB"/>
    <w:rsid w:val="00432415"/>
    <w:rsid w:val="00433B01"/>
    <w:rsid w:val="00434BAC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7528"/>
    <w:rsid w:val="0047049C"/>
    <w:rsid w:val="00471F9D"/>
    <w:rsid w:val="0047429C"/>
    <w:rsid w:val="0047539A"/>
    <w:rsid w:val="00475E9D"/>
    <w:rsid w:val="00477923"/>
    <w:rsid w:val="00480839"/>
    <w:rsid w:val="00481B90"/>
    <w:rsid w:val="00482405"/>
    <w:rsid w:val="0048458A"/>
    <w:rsid w:val="00486218"/>
    <w:rsid w:val="00486DCB"/>
    <w:rsid w:val="00491958"/>
    <w:rsid w:val="00492FE5"/>
    <w:rsid w:val="00493597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C755D"/>
    <w:rsid w:val="004D2A6D"/>
    <w:rsid w:val="004D369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388A"/>
    <w:rsid w:val="00641A60"/>
    <w:rsid w:val="006504A3"/>
    <w:rsid w:val="00653C49"/>
    <w:rsid w:val="00661547"/>
    <w:rsid w:val="0066250E"/>
    <w:rsid w:val="00665664"/>
    <w:rsid w:val="00665861"/>
    <w:rsid w:val="006664E7"/>
    <w:rsid w:val="00666E11"/>
    <w:rsid w:val="00667F34"/>
    <w:rsid w:val="0067177C"/>
    <w:rsid w:val="00672DED"/>
    <w:rsid w:val="006753E3"/>
    <w:rsid w:val="0067583C"/>
    <w:rsid w:val="0068582E"/>
    <w:rsid w:val="0068776E"/>
    <w:rsid w:val="00687FCB"/>
    <w:rsid w:val="00693AA6"/>
    <w:rsid w:val="00695AAF"/>
    <w:rsid w:val="006A3DE1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596B"/>
    <w:rsid w:val="006F7DB2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7F628F"/>
    <w:rsid w:val="00804BED"/>
    <w:rsid w:val="0080641E"/>
    <w:rsid w:val="00812035"/>
    <w:rsid w:val="00812FC0"/>
    <w:rsid w:val="00814050"/>
    <w:rsid w:val="008140AD"/>
    <w:rsid w:val="00815E84"/>
    <w:rsid w:val="00823A22"/>
    <w:rsid w:val="00825A83"/>
    <w:rsid w:val="008268B6"/>
    <w:rsid w:val="008325E5"/>
    <w:rsid w:val="00835737"/>
    <w:rsid w:val="0083776D"/>
    <w:rsid w:val="00841B75"/>
    <w:rsid w:val="0084491F"/>
    <w:rsid w:val="00846C90"/>
    <w:rsid w:val="00850DFC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917E2"/>
    <w:rsid w:val="008920A2"/>
    <w:rsid w:val="00892AE2"/>
    <w:rsid w:val="0089308B"/>
    <w:rsid w:val="00897A5C"/>
    <w:rsid w:val="008A03C5"/>
    <w:rsid w:val="008A21E0"/>
    <w:rsid w:val="008A2679"/>
    <w:rsid w:val="008A4116"/>
    <w:rsid w:val="008B3248"/>
    <w:rsid w:val="008B3B29"/>
    <w:rsid w:val="008B43C3"/>
    <w:rsid w:val="008B588D"/>
    <w:rsid w:val="008B6FDF"/>
    <w:rsid w:val="008C5935"/>
    <w:rsid w:val="008D3E46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29C3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4BE0"/>
    <w:rsid w:val="009E723C"/>
    <w:rsid w:val="009F119F"/>
    <w:rsid w:val="009F36D2"/>
    <w:rsid w:val="00A007BA"/>
    <w:rsid w:val="00A0116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1633"/>
    <w:rsid w:val="00A81F57"/>
    <w:rsid w:val="00A83252"/>
    <w:rsid w:val="00A853DB"/>
    <w:rsid w:val="00A94087"/>
    <w:rsid w:val="00AA0452"/>
    <w:rsid w:val="00AA0C63"/>
    <w:rsid w:val="00AA524A"/>
    <w:rsid w:val="00AB174E"/>
    <w:rsid w:val="00AB2206"/>
    <w:rsid w:val="00AB5BE4"/>
    <w:rsid w:val="00AB6C3C"/>
    <w:rsid w:val="00AB6CF2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72C"/>
    <w:rsid w:val="00B035C3"/>
    <w:rsid w:val="00B035EC"/>
    <w:rsid w:val="00B04EC0"/>
    <w:rsid w:val="00B05656"/>
    <w:rsid w:val="00B072EC"/>
    <w:rsid w:val="00B111BD"/>
    <w:rsid w:val="00B1406A"/>
    <w:rsid w:val="00B16653"/>
    <w:rsid w:val="00B21598"/>
    <w:rsid w:val="00B2532C"/>
    <w:rsid w:val="00B27009"/>
    <w:rsid w:val="00B274F9"/>
    <w:rsid w:val="00B27880"/>
    <w:rsid w:val="00B278B8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031"/>
    <w:rsid w:val="00B753F5"/>
    <w:rsid w:val="00B766D6"/>
    <w:rsid w:val="00B8126C"/>
    <w:rsid w:val="00B90EE9"/>
    <w:rsid w:val="00B91ED7"/>
    <w:rsid w:val="00B94A6A"/>
    <w:rsid w:val="00B97FC6"/>
    <w:rsid w:val="00BA15E9"/>
    <w:rsid w:val="00BA4FC0"/>
    <w:rsid w:val="00BA5F9B"/>
    <w:rsid w:val="00BA77E1"/>
    <w:rsid w:val="00BB52CB"/>
    <w:rsid w:val="00BC1B85"/>
    <w:rsid w:val="00BC571A"/>
    <w:rsid w:val="00BC601B"/>
    <w:rsid w:val="00BC6576"/>
    <w:rsid w:val="00BD29E4"/>
    <w:rsid w:val="00BD2A11"/>
    <w:rsid w:val="00BD58B7"/>
    <w:rsid w:val="00BD67D0"/>
    <w:rsid w:val="00BD6C85"/>
    <w:rsid w:val="00BD79B7"/>
    <w:rsid w:val="00BE40A8"/>
    <w:rsid w:val="00BE5882"/>
    <w:rsid w:val="00BE750C"/>
    <w:rsid w:val="00BF4BB2"/>
    <w:rsid w:val="00BF5478"/>
    <w:rsid w:val="00C001BF"/>
    <w:rsid w:val="00C00975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81D96"/>
    <w:rsid w:val="00C82151"/>
    <w:rsid w:val="00C8271A"/>
    <w:rsid w:val="00C82883"/>
    <w:rsid w:val="00C83A81"/>
    <w:rsid w:val="00C90BE9"/>
    <w:rsid w:val="00C9585F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56315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0A31"/>
    <w:rsid w:val="00DF2EB8"/>
    <w:rsid w:val="00DF4E33"/>
    <w:rsid w:val="00E02702"/>
    <w:rsid w:val="00E0277F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042C"/>
    <w:rsid w:val="00E834F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3DC1"/>
    <w:rsid w:val="00EE56A1"/>
    <w:rsid w:val="00EE57B0"/>
    <w:rsid w:val="00EE5E37"/>
    <w:rsid w:val="00EE61B5"/>
    <w:rsid w:val="00EE68C8"/>
    <w:rsid w:val="00EE7C7E"/>
    <w:rsid w:val="00EF1BEA"/>
    <w:rsid w:val="00EF28DC"/>
    <w:rsid w:val="00EF4E03"/>
    <w:rsid w:val="00EF53E7"/>
    <w:rsid w:val="00EF5BB0"/>
    <w:rsid w:val="00EF6876"/>
    <w:rsid w:val="00EF76FF"/>
    <w:rsid w:val="00F01FE3"/>
    <w:rsid w:val="00F10988"/>
    <w:rsid w:val="00F10C3B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512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8539F"/>
    <w:rsid w:val="00F93867"/>
    <w:rsid w:val="00F93A50"/>
    <w:rsid w:val="00F93D99"/>
    <w:rsid w:val="00F96F95"/>
    <w:rsid w:val="00F97443"/>
    <w:rsid w:val="00FA1F00"/>
    <w:rsid w:val="00FA4BED"/>
    <w:rsid w:val="00FA6AA9"/>
    <w:rsid w:val="00FA76B5"/>
    <w:rsid w:val="00FB0925"/>
    <w:rsid w:val="00FB5948"/>
    <w:rsid w:val="00FB63A9"/>
    <w:rsid w:val="00FC0100"/>
    <w:rsid w:val="00FC0380"/>
    <w:rsid w:val="00FC4397"/>
    <w:rsid w:val="00FD2C28"/>
    <w:rsid w:val="00FD52D4"/>
    <w:rsid w:val="00FD76FB"/>
    <w:rsid w:val="00FD7CB1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E2D82"/>
  <w15:docId w15:val="{1FE56788-B104-4076-8714-DC12A1D2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31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09A109-0957-47CA-9E03-792B2298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2350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6</cp:revision>
  <cp:lastPrinted>2024-06-13T07:59:00Z</cp:lastPrinted>
  <dcterms:created xsi:type="dcterms:W3CDTF">2026-01-26T08:05:00Z</dcterms:created>
  <dcterms:modified xsi:type="dcterms:W3CDTF">2026-01-27T10:19:00Z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