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264AA5FB" w:rsidR="00AF40CB" w:rsidRPr="00C87657" w:rsidRDefault="00AF40CB" w:rsidP="001F5A99">
      <w:pPr>
        <w:spacing w:after="120" w:line="276" w:lineRule="auto"/>
        <w:jc w:val="center"/>
        <w:rPr>
          <w:rFonts w:ascii="Tahoma" w:eastAsia="Microsoft YaHei" w:hAnsi="Tahoma" w:cs="Tahoma"/>
          <w:b/>
          <w:szCs w:val="28"/>
          <w:u w:val="single"/>
          <w:lang w:eastAsia="hi-IN" w:bidi="hi-IN"/>
        </w:rPr>
      </w:pPr>
      <w:proofErr w:type="gramStart"/>
      <w:r w:rsidRPr="00C87657">
        <w:rPr>
          <w:rFonts w:ascii="Tahoma" w:eastAsia="Microsoft YaHei" w:hAnsi="Tahoma" w:cs="Tahoma"/>
          <w:b/>
          <w:szCs w:val="28"/>
          <w:u w:val="single"/>
          <w:lang w:eastAsia="hi-IN" w:bidi="hi-IN"/>
        </w:rPr>
        <w:t xml:space="preserve">KUPNÍ </w:t>
      </w:r>
      <w:r w:rsidR="001F5A99">
        <w:rPr>
          <w:rFonts w:ascii="Tahoma" w:eastAsia="Microsoft YaHei" w:hAnsi="Tahoma" w:cs="Tahoma"/>
          <w:b/>
          <w:szCs w:val="28"/>
          <w:u w:val="single"/>
          <w:lang w:eastAsia="hi-IN" w:bidi="hi-IN"/>
        </w:rPr>
        <w:t xml:space="preserve"> </w:t>
      </w:r>
      <w:r w:rsidRPr="00C87657">
        <w:rPr>
          <w:rFonts w:ascii="Tahoma" w:eastAsia="Microsoft YaHei" w:hAnsi="Tahoma" w:cs="Tahoma"/>
          <w:b/>
          <w:szCs w:val="28"/>
          <w:u w:val="single"/>
          <w:lang w:eastAsia="hi-IN" w:bidi="hi-IN"/>
        </w:rPr>
        <w:t>SMLOUVA</w:t>
      </w:r>
      <w:proofErr w:type="gramEnd"/>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2C9D6E42" w:rsidR="009601F0" w:rsidRPr="00633675" w:rsidRDefault="00C460B6" w:rsidP="00566577">
      <w:pPr>
        <w:numPr>
          <w:ilvl w:val="0"/>
          <w:numId w:val="19"/>
        </w:numPr>
        <w:tabs>
          <w:tab w:val="clear" w:pos="720"/>
          <w:tab w:val="num" w:pos="426"/>
        </w:tabs>
        <w:spacing w:before="240" w:after="120" w:line="276" w:lineRule="auto"/>
        <w:ind w:left="425" w:hanging="425"/>
        <w:rPr>
          <w:rFonts w:ascii="Tahoma" w:hAnsi="Tahoma" w:cs="Tahoma"/>
          <w:b/>
          <w:sz w:val="20"/>
          <w:szCs w:val="22"/>
        </w:rPr>
      </w:pPr>
      <w:r>
        <w:rPr>
          <w:rFonts w:ascii="Tahoma" w:hAnsi="Tahoma" w:cs="Tahoma"/>
          <w:b/>
          <w:sz w:val="20"/>
          <w:szCs w:val="22"/>
        </w:rPr>
        <w:t>Moravskos</w:t>
      </w:r>
      <w:r w:rsidR="00464C4C" w:rsidRPr="00633675">
        <w:rPr>
          <w:rFonts w:ascii="Tahoma" w:hAnsi="Tahoma" w:cs="Tahoma"/>
          <w:b/>
          <w:sz w:val="20"/>
          <w:szCs w:val="22"/>
        </w:rPr>
        <w:t>lezská nemocnice Opav</w:t>
      </w:r>
      <w:r>
        <w:rPr>
          <w:rFonts w:ascii="Tahoma" w:hAnsi="Tahoma" w:cs="Tahoma"/>
          <w:b/>
          <w:sz w:val="20"/>
          <w:szCs w:val="22"/>
        </w:rPr>
        <w:t>a</w:t>
      </w:r>
      <w:r w:rsidR="00464C4C" w:rsidRPr="00633675">
        <w:rPr>
          <w:rFonts w:ascii="Tahoma" w:hAnsi="Tahoma" w:cs="Tahoma"/>
          <w:b/>
          <w:sz w:val="20"/>
          <w:szCs w:val="22"/>
        </w:rPr>
        <w:t>,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5E38299F" w14:textId="77777777" w:rsidR="00C460B6"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Pr>
          <w:rFonts w:ascii="Tahoma" w:hAnsi="Tahoma" w:cs="Tahoma"/>
          <w:sz w:val="20"/>
          <w:szCs w:val="22"/>
        </w:rPr>
        <w:tab/>
      </w:r>
    </w:p>
    <w:p w14:paraId="10993CC0" w14:textId="70D275B3" w:rsidR="009601F0" w:rsidRDefault="00C460B6" w:rsidP="00C460B6">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ab/>
        <w:t>ve věcech smluvních:</w:t>
      </w:r>
      <w:r>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21C7BEB8" w14:textId="54FA41DF" w:rsidR="00C460B6" w:rsidRPr="00633675" w:rsidRDefault="00C460B6" w:rsidP="00C460B6">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ab/>
        <w:t>ve věcech technických:</w:t>
      </w:r>
      <w:r>
        <w:rPr>
          <w:rFonts w:ascii="Tahoma" w:hAnsi="Tahoma" w:cs="Tahoma"/>
          <w:sz w:val="20"/>
          <w:szCs w:val="22"/>
        </w:rPr>
        <w:tab/>
        <w:t xml:space="preserve">Ing. </w:t>
      </w:r>
      <w:proofErr w:type="spellStart"/>
      <w:r>
        <w:rPr>
          <w:rFonts w:ascii="Tahoma" w:hAnsi="Tahoma" w:cs="Tahoma"/>
          <w:sz w:val="20"/>
          <w:szCs w:val="22"/>
        </w:rPr>
        <w:t>Márii</w:t>
      </w:r>
      <w:proofErr w:type="spellEnd"/>
      <w:r>
        <w:rPr>
          <w:rFonts w:ascii="Tahoma" w:hAnsi="Tahoma" w:cs="Tahoma"/>
          <w:sz w:val="20"/>
          <w:szCs w:val="22"/>
        </w:rPr>
        <w:t xml:space="preserve"> Svobodovou, vedoucí OZT</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06A5CD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A3242AE" w:rsidR="0051200A" w:rsidRPr="00633675" w:rsidRDefault="00705BC6" w:rsidP="00566577">
      <w:pPr>
        <w:numPr>
          <w:ilvl w:val="0"/>
          <w:numId w:val="19"/>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38B9994A" w14:textId="3A4FC011"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14:paraId="433A77C9" w14:textId="1FBDECF1"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C460B6">
        <w:rPr>
          <w:rFonts w:ascii="Tahoma" w:hAnsi="Tahoma" w:cs="Tahoma"/>
          <w:sz w:val="20"/>
          <w:szCs w:val="22"/>
          <w:highlight w:val="yellow"/>
        </w:rPr>
        <w:t>:</w:t>
      </w:r>
      <w:r w:rsidR="009601F0" w:rsidRPr="007C0279">
        <w:rPr>
          <w:rFonts w:ascii="Tahoma" w:hAnsi="Tahoma" w:cs="Tahoma"/>
          <w:sz w:val="20"/>
          <w:szCs w:val="22"/>
          <w:highlight w:val="yellow"/>
        </w:rPr>
        <w:tab/>
      </w:r>
    </w:p>
    <w:p w14:paraId="1816FCAE" w14:textId="1E2C1A35"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44E863C5" w14:textId="08A2DF09"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22485E20" w14:textId="64B4189A"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4D4FB822" w14:textId="3E14443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0657C746" w14:textId="77777777"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70847084" w14:textId="15FDD70F"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566577">
      <w:pPr>
        <w:pStyle w:val="OdstavecSmlouvy"/>
        <w:numPr>
          <w:ilvl w:val="0"/>
          <w:numId w:val="8"/>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566577">
      <w:pPr>
        <w:pStyle w:val="OdstavecSmlouvy"/>
        <w:numPr>
          <w:ilvl w:val="0"/>
          <w:numId w:val="8"/>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566577">
      <w:pPr>
        <w:pStyle w:val="OdstavecSmlouvy"/>
        <w:numPr>
          <w:ilvl w:val="0"/>
          <w:numId w:val="8"/>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566577">
      <w:pPr>
        <w:pStyle w:val="OdstavecSmlouvy"/>
        <w:numPr>
          <w:ilvl w:val="0"/>
          <w:numId w:val="8"/>
        </w:numPr>
        <w:tabs>
          <w:tab w:val="clear" w:pos="360"/>
          <w:tab w:val="clear" w:pos="426"/>
          <w:tab w:val="clear" w:pos="1701"/>
        </w:tabs>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598120A2" w:rsidR="00EB5B24" w:rsidRDefault="00E35A85" w:rsidP="00566577">
      <w:pPr>
        <w:pStyle w:val="OdstavecSmlouvy"/>
        <w:numPr>
          <w:ilvl w:val="0"/>
          <w:numId w:val="8"/>
        </w:numPr>
        <w:spacing w:line="276" w:lineRule="auto"/>
        <w:ind w:left="425" w:hanging="425"/>
        <w:rPr>
          <w:rFonts w:ascii="Tahoma" w:hAnsi="Tahoma" w:cs="Tahoma"/>
          <w:sz w:val="20"/>
          <w:szCs w:val="18"/>
        </w:rPr>
      </w:pPr>
      <w:r w:rsidRPr="00633675">
        <w:rPr>
          <w:rFonts w:ascii="Tahoma" w:hAnsi="Tahoma" w:cs="Tahoma"/>
          <w:sz w:val="20"/>
          <w:szCs w:val="18"/>
        </w:rPr>
        <w:lastRenderedPageBreak/>
        <w:t>Prodávající</w:t>
      </w:r>
      <w:r w:rsidR="00EB5B24" w:rsidRPr="00633675">
        <w:rPr>
          <w:rFonts w:ascii="Tahoma" w:hAnsi="Tahoma" w:cs="Tahoma"/>
          <w:sz w:val="20"/>
          <w:szCs w:val="18"/>
        </w:rPr>
        <w:t xml:space="preserve"> prohlašuje, že je odborně způsobilý k zajištění předmětu plnění podle této smlouvy.</w:t>
      </w:r>
    </w:p>
    <w:p w14:paraId="779F3E5D" w14:textId="77777777" w:rsidR="00C93444" w:rsidRDefault="00C93444" w:rsidP="00566577">
      <w:pPr>
        <w:pStyle w:val="OdstavecSmlouvy"/>
        <w:keepLines w:val="0"/>
        <w:widowControl w:val="0"/>
        <w:numPr>
          <w:ilvl w:val="0"/>
          <w:numId w:val="8"/>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77F255FE" w14:textId="77777777" w:rsidR="00C460B6" w:rsidRDefault="00066D69" w:rsidP="00566577">
      <w:pPr>
        <w:pStyle w:val="Zkladntext"/>
        <w:numPr>
          <w:ilvl w:val="0"/>
          <w:numId w:val="7"/>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C460B6">
        <w:rPr>
          <w:rFonts w:ascii="Tahoma" w:hAnsi="Tahoma" w:cs="Tahoma"/>
          <w:sz w:val="20"/>
          <w:szCs w:val="20"/>
        </w:rPr>
        <w:t>dodat</w:t>
      </w:r>
      <w:r w:rsidR="00ED4184" w:rsidRPr="00A612B8">
        <w:rPr>
          <w:rFonts w:ascii="Tahoma" w:hAnsi="Tahoma" w:cs="Tahoma"/>
          <w:sz w:val="20"/>
          <w:szCs w:val="20"/>
        </w:rPr>
        <w:t xml:space="preserve">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C460B6">
        <w:rPr>
          <w:rFonts w:ascii="Tahoma" w:hAnsi="Tahoma" w:cs="Tahoma"/>
          <w:sz w:val="20"/>
          <w:szCs w:val="20"/>
        </w:rPr>
        <w:t>, nové, nepoužité a nerepasované zboží:</w:t>
      </w:r>
    </w:p>
    <w:p w14:paraId="6B6A93A4" w14:textId="31D38BF0" w:rsidR="00C460B6" w:rsidRPr="00B805D4" w:rsidRDefault="00C460B6" w:rsidP="00566577">
      <w:pPr>
        <w:pStyle w:val="Zkladntext"/>
        <w:numPr>
          <w:ilvl w:val="0"/>
          <w:numId w:val="32"/>
        </w:numPr>
        <w:tabs>
          <w:tab w:val="clear" w:pos="1418"/>
        </w:tabs>
        <w:spacing w:before="0" w:after="120" w:line="276" w:lineRule="auto"/>
        <w:rPr>
          <w:rFonts w:ascii="Tahoma" w:hAnsi="Tahoma" w:cs="Tahoma"/>
          <w:sz w:val="20"/>
          <w:szCs w:val="20"/>
        </w:rPr>
      </w:pPr>
      <w:r>
        <w:rPr>
          <w:rFonts w:ascii="Tahoma" w:hAnsi="Tahoma" w:cs="Tahoma"/>
          <w:b/>
          <w:bCs/>
          <w:sz w:val="20"/>
          <w:szCs w:val="20"/>
        </w:rPr>
        <w:t xml:space="preserve">Část 1: 1 ks ultrazvukového přístroje s konvexní a vaginální sondou (pro gynekologické oddělení) </w:t>
      </w:r>
      <w:r w:rsidRPr="00B805D4">
        <w:rPr>
          <w:rFonts w:ascii="Tahoma" w:hAnsi="Tahoma" w:cs="Tahoma"/>
          <w:b/>
          <w:sz w:val="20"/>
          <w:szCs w:val="20"/>
          <w:highlight w:val="yellow"/>
        </w:rPr>
        <w:t>…………………………</w:t>
      </w:r>
      <w:r w:rsidRPr="00B805D4">
        <w:rPr>
          <w:rFonts w:ascii="Tahoma" w:hAnsi="Tahoma" w:cs="Tahoma"/>
          <w:b/>
          <w:sz w:val="20"/>
          <w:szCs w:val="20"/>
        </w:rPr>
        <w:t xml:space="preserve"> </w:t>
      </w:r>
      <w:r w:rsidRPr="00B805D4">
        <w:rPr>
          <w:rFonts w:ascii="Tahoma" w:hAnsi="Tahoma" w:cs="Tahoma"/>
          <w:i/>
          <w:color w:val="FF0000"/>
          <w:sz w:val="20"/>
          <w:szCs w:val="20"/>
        </w:rPr>
        <w:t xml:space="preserve">(název a typ doplní dodavatel), </w:t>
      </w:r>
      <w:r w:rsidRPr="00B805D4">
        <w:rPr>
          <w:rFonts w:ascii="Tahoma" w:hAnsi="Tahoma" w:cs="Tahoma"/>
          <w:sz w:val="20"/>
          <w:szCs w:val="20"/>
        </w:rPr>
        <w:t xml:space="preserve">včetně příslušenství, dle specifikace uvedené v Příloze č. 1 této smlouvy. </w:t>
      </w:r>
      <w:r w:rsidRPr="00B805D4">
        <w:rPr>
          <w:rFonts w:ascii="Tahoma" w:hAnsi="Tahoma" w:cs="Tahoma"/>
          <w:color w:val="000000"/>
          <w:sz w:val="20"/>
          <w:szCs w:val="20"/>
        </w:rPr>
        <w:t xml:space="preserve"> </w:t>
      </w:r>
    </w:p>
    <w:p w14:paraId="61B439B4" w14:textId="3D3B719D" w:rsidR="00C460B6" w:rsidRDefault="00C460B6" w:rsidP="00566577">
      <w:pPr>
        <w:pStyle w:val="Zkladntext"/>
        <w:numPr>
          <w:ilvl w:val="0"/>
          <w:numId w:val="32"/>
        </w:numPr>
        <w:tabs>
          <w:tab w:val="clear" w:pos="1418"/>
        </w:tabs>
        <w:spacing w:before="0" w:after="120" w:line="276" w:lineRule="auto"/>
        <w:rPr>
          <w:rFonts w:ascii="Tahoma" w:hAnsi="Tahoma" w:cs="Tahoma"/>
          <w:sz w:val="20"/>
          <w:szCs w:val="20"/>
        </w:rPr>
      </w:pPr>
      <w:r>
        <w:rPr>
          <w:rFonts w:ascii="Tahoma" w:hAnsi="Tahoma" w:cs="Tahoma"/>
          <w:b/>
          <w:bCs/>
          <w:sz w:val="20"/>
          <w:szCs w:val="20"/>
        </w:rPr>
        <w:t xml:space="preserve">Část 2: 1 ks ultrazvukového přístroje s konvexní a 2 ks lineárních sond (pro RDG odd.) </w:t>
      </w:r>
      <w:r w:rsidRPr="00B805D4">
        <w:rPr>
          <w:rFonts w:ascii="Tahoma" w:hAnsi="Tahoma" w:cs="Tahoma"/>
          <w:b/>
          <w:sz w:val="20"/>
          <w:szCs w:val="20"/>
          <w:highlight w:val="yellow"/>
        </w:rPr>
        <w:t>…………………………</w:t>
      </w:r>
      <w:r w:rsidRPr="00B805D4">
        <w:rPr>
          <w:rFonts w:ascii="Tahoma" w:hAnsi="Tahoma" w:cs="Tahoma"/>
          <w:b/>
          <w:sz w:val="20"/>
          <w:szCs w:val="20"/>
        </w:rPr>
        <w:t xml:space="preserve"> </w:t>
      </w:r>
      <w:r w:rsidRPr="00B805D4">
        <w:rPr>
          <w:rFonts w:ascii="Tahoma" w:hAnsi="Tahoma" w:cs="Tahoma"/>
          <w:i/>
          <w:color w:val="FF0000"/>
          <w:sz w:val="20"/>
          <w:szCs w:val="20"/>
        </w:rPr>
        <w:t xml:space="preserve">(název a typ doplní dodavatel), </w:t>
      </w:r>
      <w:r w:rsidRPr="00B805D4">
        <w:rPr>
          <w:rFonts w:ascii="Tahoma" w:hAnsi="Tahoma" w:cs="Tahoma"/>
          <w:sz w:val="20"/>
          <w:szCs w:val="20"/>
        </w:rPr>
        <w:t>včetně příslušenství, dle specifikace uvedené v Příloze č. 1 této smlouvy.</w:t>
      </w:r>
    </w:p>
    <w:p w14:paraId="2C825FDD" w14:textId="73E25C8D" w:rsidR="000F7334" w:rsidRPr="000F7334" w:rsidRDefault="000F7334" w:rsidP="00C460B6">
      <w:pPr>
        <w:pStyle w:val="Zkladntext"/>
        <w:tabs>
          <w:tab w:val="clear" w:pos="1418"/>
        </w:tabs>
        <w:spacing w:before="0" w:after="120" w:line="276" w:lineRule="auto"/>
        <w:ind w:left="357"/>
        <w:rPr>
          <w:rFonts w:ascii="Tahoma" w:hAnsi="Tahoma" w:cs="Tahoma"/>
          <w:bCs/>
          <w:i/>
          <w:sz w:val="20"/>
          <w:szCs w:val="20"/>
        </w:rPr>
      </w:pPr>
      <w:r w:rsidRPr="000F7334">
        <w:rPr>
          <w:rFonts w:ascii="Tahoma" w:hAnsi="Tahoma" w:cs="Tahoma"/>
          <w:bCs/>
          <w:i/>
          <w:sz w:val="20"/>
          <w:szCs w:val="20"/>
        </w:rPr>
        <w:t>(poznámka: Pokud uchazeč vyhrál jen jednu část, druhá se vypustí.)</w:t>
      </w:r>
    </w:p>
    <w:p w14:paraId="23011869" w14:textId="4FDBC5AE" w:rsidR="000E5A82" w:rsidRPr="00A612B8" w:rsidRDefault="00C460B6" w:rsidP="00566577">
      <w:pPr>
        <w:pStyle w:val="Zkladntext"/>
        <w:numPr>
          <w:ilvl w:val="0"/>
          <w:numId w:val="7"/>
        </w:numPr>
        <w:tabs>
          <w:tab w:val="clear" w:pos="360"/>
          <w:tab w:val="clear" w:pos="1418"/>
          <w:tab w:val="num" w:pos="0"/>
        </w:tabs>
        <w:spacing w:before="0" w:after="120" w:line="276" w:lineRule="auto"/>
        <w:ind w:left="425" w:hanging="425"/>
        <w:rPr>
          <w:rFonts w:ascii="Tahoma" w:hAnsi="Tahoma" w:cs="Tahoma"/>
          <w:sz w:val="20"/>
          <w:szCs w:val="20"/>
        </w:rPr>
      </w:pPr>
      <w:bookmarkStart w:id="2" w:name="_Hlk81504768"/>
      <w:r>
        <w:rPr>
          <w:rFonts w:ascii="Tahoma" w:hAnsi="Tahoma" w:cs="Tahoma"/>
          <w:sz w:val="20"/>
          <w:szCs w:val="20"/>
        </w:rPr>
        <w:t>Součástí dodávky je</w:t>
      </w:r>
      <w:r w:rsidR="000F7334">
        <w:rPr>
          <w:rFonts w:ascii="Tahoma" w:hAnsi="Tahoma" w:cs="Tahoma"/>
          <w:sz w:val="20"/>
          <w:szCs w:val="20"/>
        </w:rPr>
        <w:t xml:space="preserve"> </w:t>
      </w:r>
      <w:r>
        <w:rPr>
          <w:rFonts w:ascii="Tahoma" w:hAnsi="Tahoma" w:cs="Tahoma"/>
          <w:sz w:val="20"/>
          <w:szCs w:val="20"/>
        </w:rPr>
        <w:t>doprava, instalace, uvedení do pro</w:t>
      </w:r>
      <w:r w:rsidR="000F7334">
        <w:rPr>
          <w:rFonts w:ascii="Tahoma" w:hAnsi="Tahoma" w:cs="Tahoma"/>
          <w:sz w:val="20"/>
          <w:szCs w:val="20"/>
        </w:rPr>
        <w:t>v</w:t>
      </w:r>
      <w:r>
        <w:rPr>
          <w:rFonts w:ascii="Tahoma" w:hAnsi="Tahoma" w:cs="Tahoma"/>
          <w:sz w:val="20"/>
          <w:szCs w:val="20"/>
        </w:rPr>
        <w:t>o</w:t>
      </w:r>
      <w:r w:rsidR="000F7334">
        <w:rPr>
          <w:rFonts w:ascii="Tahoma" w:hAnsi="Tahoma" w:cs="Tahoma"/>
          <w:sz w:val="20"/>
          <w:szCs w:val="20"/>
        </w:rPr>
        <w:t>z</w:t>
      </w:r>
      <w:r>
        <w:rPr>
          <w:rFonts w:ascii="Tahoma" w:hAnsi="Tahoma" w:cs="Tahoma"/>
          <w:sz w:val="20"/>
          <w:szCs w:val="20"/>
        </w:rPr>
        <w:t>u, zaškolení obsluhy a předání dokumentace v</w:t>
      </w:r>
      <w:r w:rsidR="000F7334">
        <w:rPr>
          <w:rFonts w:ascii="Tahoma" w:hAnsi="Tahoma" w:cs="Tahoma"/>
          <w:sz w:val="20"/>
          <w:szCs w:val="20"/>
        </w:rPr>
        <w:t> </w:t>
      </w:r>
      <w:r>
        <w:rPr>
          <w:rFonts w:ascii="Tahoma" w:hAnsi="Tahoma" w:cs="Tahoma"/>
          <w:sz w:val="20"/>
          <w:szCs w:val="20"/>
        </w:rPr>
        <w:t>če</w:t>
      </w:r>
      <w:r w:rsidR="000F7334">
        <w:rPr>
          <w:rFonts w:ascii="Tahoma" w:hAnsi="Tahoma" w:cs="Tahoma"/>
          <w:sz w:val="20"/>
          <w:szCs w:val="20"/>
        </w:rPr>
        <w:t>ském jazyce.</w:t>
      </w:r>
    </w:p>
    <w:bookmarkEnd w:id="2"/>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156809AC" w14:textId="4E71BBAD" w:rsidR="00F514D6" w:rsidRDefault="00D14C77" w:rsidP="00566577">
      <w:pPr>
        <w:pStyle w:val="Zkladntext"/>
        <w:numPr>
          <w:ilvl w:val="0"/>
          <w:numId w:val="11"/>
        </w:numPr>
        <w:tabs>
          <w:tab w:val="clear" w:pos="1418"/>
          <w:tab w:val="left" w:pos="0"/>
        </w:tabs>
        <w:spacing w:before="0" w:after="120" w:line="276" w:lineRule="auto"/>
        <w:ind w:left="425" w:hanging="425"/>
        <w:rPr>
          <w:rFonts w:ascii="Tahoma" w:hAnsi="Tahoma" w:cs="Tahoma"/>
          <w:color w:val="000000"/>
          <w:sz w:val="20"/>
          <w:szCs w:val="22"/>
        </w:rPr>
      </w:pPr>
      <w:r>
        <w:rPr>
          <w:rFonts w:ascii="Tahoma" w:hAnsi="Tahoma" w:cs="Tahoma"/>
          <w:sz w:val="20"/>
          <w:szCs w:val="22"/>
        </w:rPr>
        <w:t xml:space="preserve"> </w:t>
      </w:r>
      <w:r w:rsidR="000E5A82" w:rsidRPr="004979E1">
        <w:rPr>
          <w:rFonts w:ascii="Tahoma" w:hAnsi="Tahoma" w:cs="Tahoma"/>
          <w:sz w:val="20"/>
          <w:szCs w:val="22"/>
        </w:rPr>
        <w:t xml:space="preserve">Kupní cena </w:t>
      </w:r>
      <w:r w:rsidR="004979E1">
        <w:rPr>
          <w:rFonts w:ascii="Tahoma" w:hAnsi="Tahoma" w:cs="Tahoma"/>
          <w:sz w:val="20"/>
          <w:szCs w:val="22"/>
        </w:rPr>
        <w:t xml:space="preserve">je stanovena dohodou smluvních stran a </w:t>
      </w:r>
      <w:r w:rsidR="000E5A82" w:rsidRPr="004979E1">
        <w:rPr>
          <w:rFonts w:ascii="Tahoma" w:hAnsi="Tahoma" w:cs="Tahoma"/>
          <w:sz w:val="20"/>
          <w:szCs w:val="22"/>
        </w:rPr>
        <w:t>činí</w:t>
      </w:r>
      <w:r w:rsidR="00015E20">
        <w:rPr>
          <w:rFonts w:ascii="Tahoma" w:hAnsi="Tahoma" w:cs="Tahoma"/>
          <w:sz w:val="20"/>
          <w:szCs w:val="22"/>
        </w:rPr>
        <w:t xml:space="preserve"> celkem</w:t>
      </w:r>
      <w:r w:rsidR="000E5A82" w:rsidRPr="004979E1">
        <w:rPr>
          <w:rFonts w:ascii="Tahoma" w:hAnsi="Tahoma" w:cs="Tahoma"/>
          <w:sz w:val="20"/>
          <w:szCs w:val="22"/>
        </w:rPr>
        <w:t>:</w:t>
      </w:r>
    </w:p>
    <w:p w14:paraId="6C34E2F8" w14:textId="59F0A59B" w:rsidR="00EC3640" w:rsidRPr="00F514D6" w:rsidRDefault="001532CE" w:rsidP="001532CE">
      <w:pPr>
        <w:ind w:left="425"/>
      </w:pPr>
      <w:r>
        <w:t>pro část 1:</w:t>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bl>
    <w:p w14:paraId="43F4456C" w14:textId="32072A89"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57F7A0AF" w14:textId="67B310F7" w:rsidR="001532CE" w:rsidRDefault="001532CE" w:rsidP="007C0279">
      <w:pPr>
        <w:spacing w:before="120" w:line="276" w:lineRule="auto"/>
        <w:ind w:left="357"/>
        <w:jc w:val="both"/>
        <w:rPr>
          <w:rFonts w:ascii="Tahoma" w:hAnsi="Tahoma" w:cs="Tahoma"/>
          <w:iCs/>
          <w:sz w:val="20"/>
          <w:szCs w:val="20"/>
        </w:rPr>
      </w:pPr>
      <w:r>
        <w:rPr>
          <w:rFonts w:ascii="Tahoma" w:hAnsi="Tahoma" w:cs="Tahoma"/>
          <w:iCs/>
          <w:sz w:val="20"/>
          <w:szCs w:val="20"/>
        </w:rPr>
        <w:t>pro část 2:</w:t>
      </w:r>
    </w:p>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1532CE" w14:paraId="4D795337" w14:textId="77777777" w:rsidTr="00BC77D9">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A1CD2CD" w14:textId="77777777" w:rsidR="001532CE" w:rsidRDefault="001532CE" w:rsidP="00BC77D9">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ED005BF" w14:textId="77777777" w:rsidR="001532CE" w:rsidRDefault="001532CE" w:rsidP="00BC77D9">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1532CE" w14:paraId="0D1C9711" w14:textId="77777777" w:rsidTr="00BC77D9">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27A5539" w14:textId="77777777" w:rsidR="001532CE" w:rsidRDefault="001532CE" w:rsidP="00BC77D9">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A24494A" w14:textId="77777777" w:rsidR="001532CE" w:rsidRDefault="001532CE" w:rsidP="00BC77D9">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1532CE" w14:paraId="42D67A72" w14:textId="77777777" w:rsidTr="00BC77D9">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CDC3255" w14:textId="77777777" w:rsidR="001532CE" w:rsidRDefault="001532CE" w:rsidP="00BC77D9">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683A179" w14:textId="77777777" w:rsidR="001532CE" w:rsidRDefault="001532CE" w:rsidP="00BC77D9">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1532CE" w14:paraId="1B6FDC0C" w14:textId="77777777" w:rsidTr="00BC77D9">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92438F0" w14:textId="77777777" w:rsidR="001532CE" w:rsidRDefault="001532CE" w:rsidP="00BC77D9">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DA91AA4" w14:textId="77777777" w:rsidR="001532CE" w:rsidRDefault="001532CE" w:rsidP="00BC77D9">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bl>
    <w:p w14:paraId="5D18603A" w14:textId="209297BB" w:rsidR="001532CE" w:rsidRDefault="001532CE" w:rsidP="007C0279">
      <w:pPr>
        <w:spacing w:before="120" w:line="276" w:lineRule="auto"/>
        <w:ind w:left="357"/>
        <w:jc w:val="both"/>
        <w:rPr>
          <w:rFonts w:ascii="Tahoma" w:hAnsi="Tahoma" w:cs="Tahoma"/>
          <w:iCs/>
          <w:sz w:val="20"/>
          <w:szCs w:val="20"/>
        </w:rPr>
      </w:pPr>
    </w:p>
    <w:p w14:paraId="32D39622" w14:textId="7A336ED7" w:rsidR="001532CE" w:rsidRDefault="001532CE" w:rsidP="007C0279">
      <w:pPr>
        <w:spacing w:before="120" w:line="276" w:lineRule="auto"/>
        <w:ind w:left="357"/>
        <w:jc w:val="both"/>
        <w:rPr>
          <w:rFonts w:ascii="Tahoma" w:hAnsi="Tahoma" w:cs="Tahoma"/>
          <w:iCs/>
          <w:sz w:val="20"/>
          <w:szCs w:val="20"/>
        </w:rPr>
      </w:pPr>
    </w:p>
    <w:p w14:paraId="22301BCD" w14:textId="2AA75E51" w:rsidR="001532CE" w:rsidRDefault="001532CE" w:rsidP="007C0279">
      <w:pPr>
        <w:spacing w:before="120" w:line="276" w:lineRule="auto"/>
        <w:ind w:left="357"/>
        <w:jc w:val="both"/>
        <w:rPr>
          <w:rFonts w:ascii="Tahoma" w:hAnsi="Tahoma" w:cs="Tahoma"/>
          <w:iCs/>
          <w:sz w:val="20"/>
          <w:szCs w:val="20"/>
        </w:rPr>
      </w:pPr>
    </w:p>
    <w:p w14:paraId="71DA10E8" w14:textId="55C7790F" w:rsidR="001532CE" w:rsidRDefault="001532CE" w:rsidP="007C0279">
      <w:pPr>
        <w:spacing w:before="120" w:line="276" w:lineRule="auto"/>
        <w:ind w:left="357"/>
        <w:jc w:val="both"/>
        <w:rPr>
          <w:rFonts w:ascii="Tahoma" w:hAnsi="Tahoma" w:cs="Tahoma"/>
          <w:iCs/>
          <w:sz w:val="20"/>
          <w:szCs w:val="20"/>
        </w:rPr>
      </w:pPr>
    </w:p>
    <w:p w14:paraId="607C1A20" w14:textId="14032A20" w:rsidR="001532CE" w:rsidRDefault="001532CE" w:rsidP="007C0279">
      <w:pPr>
        <w:spacing w:before="120" w:line="276" w:lineRule="auto"/>
        <w:ind w:left="357"/>
        <w:jc w:val="both"/>
        <w:rPr>
          <w:rFonts w:ascii="Tahoma" w:hAnsi="Tahoma" w:cs="Tahoma"/>
          <w:iCs/>
          <w:sz w:val="20"/>
          <w:szCs w:val="20"/>
        </w:rPr>
      </w:pPr>
    </w:p>
    <w:p w14:paraId="5983EDB5" w14:textId="77777777" w:rsidR="00A71378" w:rsidRDefault="00A71378" w:rsidP="00A71378">
      <w:pPr>
        <w:pStyle w:val="Zkladntext"/>
        <w:tabs>
          <w:tab w:val="clear" w:pos="1418"/>
        </w:tabs>
        <w:spacing w:before="0" w:after="120" w:line="276" w:lineRule="auto"/>
        <w:ind w:left="357"/>
        <w:rPr>
          <w:rFonts w:ascii="Tahoma" w:hAnsi="Tahoma" w:cs="Tahoma"/>
          <w:bCs/>
          <w:i/>
          <w:sz w:val="20"/>
          <w:szCs w:val="20"/>
        </w:rPr>
      </w:pPr>
    </w:p>
    <w:p w14:paraId="5873C1B3" w14:textId="4441B605" w:rsidR="001532CE" w:rsidRPr="00A71378" w:rsidRDefault="00A71378" w:rsidP="00A71378">
      <w:pPr>
        <w:pStyle w:val="Zkladntext"/>
        <w:tabs>
          <w:tab w:val="clear" w:pos="1418"/>
        </w:tabs>
        <w:spacing w:before="0" w:after="120" w:line="276" w:lineRule="auto"/>
        <w:ind w:left="357"/>
        <w:rPr>
          <w:rFonts w:ascii="Tahoma" w:hAnsi="Tahoma" w:cs="Tahoma"/>
          <w:bCs/>
          <w:i/>
          <w:sz w:val="20"/>
          <w:szCs w:val="20"/>
        </w:rPr>
      </w:pPr>
      <w:r w:rsidRPr="000F7334">
        <w:rPr>
          <w:rFonts w:ascii="Tahoma" w:hAnsi="Tahoma" w:cs="Tahoma"/>
          <w:bCs/>
          <w:i/>
          <w:sz w:val="20"/>
          <w:szCs w:val="20"/>
        </w:rPr>
        <w:t>(poznámka:</w:t>
      </w:r>
      <w:r>
        <w:rPr>
          <w:rFonts w:ascii="Tahoma" w:hAnsi="Tahoma" w:cs="Tahoma"/>
          <w:bCs/>
          <w:i/>
          <w:sz w:val="20"/>
          <w:szCs w:val="20"/>
        </w:rPr>
        <w:t xml:space="preserve"> </w:t>
      </w:r>
      <w:r w:rsidR="00CC039E">
        <w:rPr>
          <w:rFonts w:ascii="Tahoma" w:hAnsi="Tahoma" w:cs="Tahoma"/>
          <w:bCs/>
          <w:i/>
          <w:sz w:val="20"/>
          <w:szCs w:val="20"/>
        </w:rPr>
        <w:t>P</w:t>
      </w:r>
      <w:r w:rsidRPr="000F7334">
        <w:rPr>
          <w:rFonts w:ascii="Tahoma" w:hAnsi="Tahoma" w:cs="Tahoma"/>
          <w:bCs/>
          <w:i/>
          <w:sz w:val="20"/>
          <w:szCs w:val="20"/>
        </w:rPr>
        <w:t>okud uchazeč vyhrál jen jednu část, druhá se vypustí.)</w:t>
      </w:r>
    </w:p>
    <w:p w14:paraId="6DE98E68" w14:textId="5A9D60D8" w:rsidR="00066D69" w:rsidRPr="00633675" w:rsidRDefault="00220469" w:rsidP="00566577">
      <w:pPr>
        <w:pStyle w:val="Zkladntext"/>
        <w:numPr>
          <w:ilvl w:val="0"/>
          <w:numId w:val="20"/>
        </w:numPr>
        <w:tabs>
          <w:tab w:val="clear" w:pos="360"/>
          <w:tab w:val="clear" w:pos="1418"/>
          <w:tab w:val="num" w:pos="0"/>
        </w:tabs>
        <w:spacing w:after="120" w:line="276" w:lineRule="auto"/>
        <w:ind w:left="425" w:hanging="425"/>
        <w:rPr>
          <w:rFonts w:ascii="Tahoma" w:hAnsi="Tahoma" w:cs="Tahoma"/>
          <w:b/>
          <w:color w:val="C0504D"/>
          <w:sz w:val="20"/>
          <w:szCs w:val="22"/>
        </w:rPr>
      </w:pPr>
      <w:bookmarkStart w:id="3"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lastRenderedPageBreak/>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w:t>
      </w:r>
      <w:r w:rsidR="00A71378">
        <w:rPr>
          <w:rFonts w:ascii="Tahoma" w:hAnsi="Tahoma" w:cs="Tahoma"/>
          <w:sz w:val="20"/>
          <w:szCs w:val="22"/>
        </w:rPr>
        <w:t>, včetně nákladů na provádění bezplatného záručního servisu a pravidelných kontrol (PBTK) v rozsahu stanoveném v článku X. této smlouvy.</w:t>
      </w:r>
      <w:r w:rsidR="00066D69" w:rsidRPr="00633675">
        <w:rPr>
          <w:rFonts w:ascii="Tahoma" w:hAnsi="Tahoma" w:cs="Tahoma"/>
          <w:sz w:val="20"/>
          <w:szCs w:val="22"/>
        </w:rPr>
        <w:t xml:space="preserve"> Kupní cena je stanovena jako nejvýše přípustná a není ji možno překročit</w:t>
      </w:r>
      <w:r w:rsidR="00616EE7" w:rsidRPr="00633675">
        <w:rPr>
          <w:rFonts w:ascii="Tahoma" w:hAnsi="Tahoma" w:cs="Tahoma"/>
          <w:sz w:val="20"/>
          <w:szCs w:val="22"/>
        </w:rPr>
        <w:t>.</w:t>
      </w:r>
    </w:p>
    <w:p w14:paraId="34090CD0" w14:textId="72ABEC51" w:rsidR="00C93444" w:rsidRDefault="00915A7A" w:rsidP="00566577">
      <w:pPr>
        <w:pStyle w:val="Zkladntext"/>
        <w:numPr>
          <w:ilvl w:val="0"/>
          <w:numId w:val="20"/>
        </w:numPr>
        <w:tabs>
          <w:tab w:val="clear" w:pos="1418"/>
          <w:tab w:val="left" w:pos="0"/>
        </w:tabs>
        <w:spacing w:before="0" w:after="120" w:line="276" w:lineRule="auto"/>
        <w:ind w:left="425" w:hanging="425"/>
        <w:rPr>
          <w:rFonts w:ascii="Tahoma" w:hAnsi="Tahoma" w:cs="Tahoma"/>
          <w:sz w:val="20"/>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015E20">
        <w:rPr>
          <w:rFonts w:ascii="Tahoma" w:hAnsi="Tahoma" w:cs="Tahoma"/>
          <w:sz w:val="20"/>
          <w:szCs w:val="20"/>
        </w:rPr>
        <w:t>dodavatel</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p w14:paraId="4895DAD5" w14:textId="38BE05F3" w:rsidR="00C93444" w:rsidRDefault="00C93444">
      <w:pPr>
        <w:rPr>
          <w:rFonts w:ascii="Tahoma" w:hAnsi="Tahoma" w:cs="Tahoma"/>
          <w:sz w:val="20"/>
          <w:szCs w:val="20"/>
        </w:rPr>
      </w:pPr>
    </w:p>
    <w:bookmarkEnd w:id="3"/>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5203C30A" w:rsidR="00F81D8E" w:rsidRDefault="00F04C78" w:rsidP="00566577">
      <w:pPr>
        <w:pStyle w:val="Odstavecseseznamem"/>
        <w:numPr>
          <w:ilvl w:val="0"/>
          <w:numId w:val="9"/>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532CE">
        <w:rPr>
          <w:rFonts w:ascii="Tahoma" w:hAnsi="Tahoma" w:cs="Tahoma"/>
          <w:sz w:val="20"/>
          <w:szCs w:val="22"/>
        </w:rPr>
        <w:t>Moravskos</w:t>
      </w:r>
      <w:r w:rsidR="001A59F7" w:rsidRPr="000241C5">
        <w:rPr>
          <w:rFonts w:ascii="Tahoma" w:hAnsi="Tahoma" w:cs="Tahoma"/>
          <w:sz w:val="20"/>
          <w:szCs w:val="22"/>
        </w:rPr>
        <w:t xml:space="preserve">lezská nemocnice </w:t>
      </w:r>
      <w:r w:rsidR="001532CE">
        <w:rPr>
          <w:rFonts w:ascii="Tahoma" w:hAnsi="Tahoma" w:cs="Tahoma"/>
          <w:sz w:val="20"/>
          <w:szCs w:val="22"/>
        </w:rPr>
        <w:t>O</w:t>
      </w:r>
      <w:r w:rsidR="001A59F7" w:rsidRPr="000241C5">
        <w:rPr>
          <w:rFonts w:ascii="Tahoma" w:hAnsi="Tahoma" w:cs="Tahoma"/>
          <w:sz w:val="20"/>
          <w:szCs w:val="22"/>
        </w:rPr>
        <w:t>pav</w:t>
      </w:r>
      <w:r w:rsidR="001532CE">
        <w:rPr>
          <w:rFonts w:ascii="Tahoma" w:hAnsi="Tahoma" w:cs="Tahoma"/>
          <w:sz w:val="20"/>
          <w:szCs w:val="22"/>
        </w:rPr>
        <w:t>a</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p>
    <w:p w14:paraId="755E4440" w14:textId="3E62AA9D" w:rsidR="001532CE" w:rsidRDefault="001532CE" w:rsidP="00566577">
      <w:pPr>
        <w:pStyle w:val="Odstavecseseznamem"/>
        <w:numPr>
          <w:ilvl w:val="0"/>
          <w:numId w:val="29"/>
        </w:numPr>
        <w:spacing w:after="120" w:line="276" w:lineRule="auto"/>
        <w:contextualSpacing w:val="0"/>
        <w:jc w:val="both"/>
        <w:rPr>
          <w:rFonts w:ascii="Tahoma" w:hAnsi="Tahoma" w:cs="Tahoma"/>
          <w:sz w:val="20"/>
          <w:szCs w:val="22"/>
        </w:rPr>
      </w:pPr>
      <w:r>
        <w:rPr>
          <w:rFonts w:ascii="Tahoma" w:hAnsi="Tahoma" w:cs="Tahoma"/>
          <w:sz w:val="20"/>
          <w:szCs w:val="22"/>
        </w:rPr>
        <w:t>část 1: gynekologické oddělení pavilon V</w:t>
      </w:r>
    </w:p>
    <w:p w14:paraId="6A381D54" w14:textId="127D4DB3" w:rsidR="001532CE" w:rsidRPr="000241C5" w:rsidRDefault="001532CE" w:rsidP="00566577">
      <w:pPr>
        <w:pStyle w:val="Odstavecseseznamem"/>
        <w:numPr>
          <w:ilvl w:val="0"/>
          <w:numId w:val="29"/>
        </w:numPr>
        <w:spacing w:after="120" w:line="276" w:lineRule="auto"/>
        <w:contextualSpacing w:val="0"/>
        <w:jc w:val="both"/>
        <w:rPr>
          <w:rFonts w:ascii="Tahoma" w:hAnsi="Tahoma" w:cs="Tahoma"/>
          <w:sz w:val="20"/>
          <w:szCs w:val="22"/>
        </w:rPr>
      </w:pPr>
      <w:r>
        <w:rPr>
          <w:rFonts w:ascii="Tahoma" w:hAnsi="Tahoma" w:cs="Tahoma"/>
          <w:sz w:val="20"/>
          <w:szCs w:val="22"/>
        </w:rPr>
        <w:t>část 2: RDG oddělení pavilon G</w:t>
      </w:r>
    </w:p>
    <w:p w14:paraId="26C852A8" w14:textId="1E642BAD" w:rsidR="00066D69" w:rsidRPr="002F2AD8" w:rsidRDefault="00587A33" w:rsidP="00566577">
      <w:pPr>
        <w:pStyle w:val="Odstavecseseznamem"/>
        <w:numPr>
          <w:ilvl w:val="0"/>
          <w:numId w:val="9"/>
        </w:numPr>
        <w:tabs>
          <w:tab w:val="clear" w:pos="360"/>
          <w:tab w:val="num" w:pos="0"/>
        </w:tabs>
        <w:spacing w:after="120" w:line="276" w:lineRule="auto"/>
        <w:ind w:left="425" w:hanging="425"/>
        <w:contextualSpacing w:val="0"/>
        <w:jc w:val="both"/>
        <w:rPr>
          <w:rFonts w:ascii="Tahoma" w:hAnsi="Tahoma" w:cs="Tahoma"/>
          <w:strike/>
          <w:sz w:val="20"/>
          <w:szCs w:val="20"/>
        </w:rPr>
      </w:pPr>
      <w:bookmarkStart w:id="4"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8403EA">
        <w:rPr>
          <w:rFonts w:ascii="Tahoma" w:hAnsi="Tahoma" w:cs="Tahoma"/>
          <w:b/>
          <w:bCs/>
          <w:sz w:val="20"/>
          <w:szCs w:val="20"/>
        </w:rPr>
        <w:t>do</w:t>
      </w:r>
      <w:r w:rsidR="00633675" w:rsidRPr="008403EA">
        <w:rPr>
          <w:rFonts w:ascii="Tahoma" w:hAnsi="Tahoma" w:cs="Tahoma"/>
          <w:b/>
          <w:bCs/>
          <w:sz w:val="20"/>
          <w:szCs w:val="20"/>
        </w:rPr>
        <w:t xml:space="preserve"> </w:t>
      </w:r>
      <w:r w:rsidR="006D76DC" w:rsidRPr="006D76DC">
        <w:rPr>
          <w:rFonts w:ascii="Tahoma" w:hAnsi="Tahoma" w:cs="Tahoma"/>
          <w:b/>
          <w:bCs/>
          <w:sz w:val="20"/>
          <w:szCs w:val="20"/>
        </w:rPr>
        <w:t>9</w:t>
      </w:r>
      <w:r w:rsidR="00E6187E" w:rsidRPr="006D76DC">
        <w:rPr>
          <w:rFonts w:ascii="Tahoma" w:hAnsi="Tahoma" w:cs="Tahoma"/>
          <w:b/>
          <w:bCs/>
          <w:sz w:val="20"/>
          <w:szCs w:val="20"/>
        </w:rPr>
        <w:t>0 dnů</w:t>
      </w:r>
      <w:r w:rsidR="00E6187E">
        <w:rPr>
          <w:rFonts w:ascii="Tahoma" w:hAnsi="Tahoma" w:cs="Tahoma"/>
          <w:b/>
          <w:bCs/>
          <w:sz w:val="20"/>
          <w:szCs w:val="20"/>
        </w:rPr>
        <w:t xml:space="preserve"> ode dne nabytí účinnosti kupní smlouvy.</w:t>
      </w:r>
      <w:r w:rsidRPr="002F2AD8">
        <w:rPr>
          <w:rFonts w:ascii="Tahoma" w:hAnsi="Tahoma" w:cs="Tahoma"/>
          <w:sz w:val="20"/>
          <w:szCs w:val="20"/>
        </w:rPr>
        <w:t xml:space="preserve"> </w:t>
      </w:r>
    </w:p>
    <w:bookmarkEnd w:id="4"/>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5"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566577">
      <w:pPr>
        <w:pStyle w:val="Zkladntext"/>
        <w:numPr>
          <w:ilvl w:val="0"/>
          <w:numId w:val="12"/>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566577">
      <w:pPr>
        <w:pStyle w:val="Zkladntext"/>
        <w:numPr>
          <w:ilvl w:val="0"/>
          <w:numId w:val="14"/>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9039468" w14:textId="5CF7A06E" w:rsidR="00066D69" w:rsidRPr="00BD570D" w:rsidRDefault="00066D69" w:rsidP="00566577">
      <w:pPr>
        <w:pStyle w:val="Zkladntext"/>
        <w:numPr>
          <w:ilvl w:val="0"/>
          <w:numId w:val="14"/>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566577">
      <w:pPr>
        <w:pStyle w:val="Zkladntext"/>
        <w:numPr>
          <w:ilvl w:val="0"/>
          <w:numId w:val="12"/>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566577">
      <w:pPr>
        <w:pStyle w:val="Odstavecseseznamem"/>
        <w:numPr>
          <w:ilvl w:val="0"/>
          <w:numId w:val="23"/>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566577">
      <w:pPr>
        <w:pStyle w:val="Odstavecseseznamem"/>
        <w:numPr>
          <w:ilvl w:val="0"/>
          <w:numId w:val="23"/>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bookmarkStart w:id="6" w:name="_GoBack"/>
      <w:bookmarkEnd w:id="6"/>
    </w:p>
    <w:p w14:paraId="77FE8926" w14:textId="10481938" w:rsidR="00E9155E" w:rsidRPr="00DD67FF" w:rsidRDefault="00E9155E" w:rsidP="00566577">
      <w:pPr>
        <w:pStyle w:val="Odstavecseseznamem"/>
        <w:numPr>
          <w:ilvl w:val="0"/>
          <w:numId w:val="23"/>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lastRenderedPageBreak/>
        <w:t>doklad o zaškolení od výrobce,</w:t>
      </w:r>
    </w:p>
    <w:p w14:paraId="140778FB" w14:textId="77777777" w:rsidR="00BB0AB3" w:rsidRPr="00DD67FF" w:rsidRDefault="00BB0AB3" w:rsidP="00566577">
      <w:pPr>
        <w:pStyle w:val="Odstavecseseznamem"/>
        <w:numPr>
          <w:ilvl w:val="0"/>
          <w:numId w:val="23"/>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566577">
      <w:pPr>
        <w:pStyle w:val="Odstavecseseznamem"/>
        <w:numPr>
          <w:ilvl w:val="0"/>
          <w:numId w:val="23"/>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566577">
      <w:pPr>
        <w:pStyle w:val="Odstavecseseznamem"/>
        <w:numPr>
          <w:ilvl w:val="0"/>
          <w:numId w:val="18"/>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256D1B99" w:rsidR="00E04F18" w:rsidRDefault="00140AF8" w:rsidP="00566577">
      <w:pPr>
        <w:pStyle w:val="Odstavecseseznamem"/>
        <w:numPr>
          <w:ilvl w:val="0"/>
          <w:numId w:val="18"/>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Po dobu záruky v případě poruchy dodavatel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566577">
      <w:pPr>
        <w:pStyle w:val="Odstavecseseznamem"/>
        <w:numPr>
          <w:ilvl w:val="0"/>
          <w:numId w:val="18"/>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t>Kupující je povinen:</w:t>
      </w:r>
    </w:p>
    <w:p w14:paraId="51C9C201" w14:textId="77777777" w:rsidR="00033307" w:rsidRPr="00633675" w:rsidRDefault="009A11FC" w:rsidP="00566577">
      <w:pPr>
        <w:pStyle w:val="Zkladntext"/>
        <w:numPr>
          <w:ilvl w:val="0"/>
          <w:numId w:val="13"/>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566577">
      <w:pPr>
        <w:pStyle w:val="Zkladntext"/>
        <w:numPr>
          <w:ilvl w:val="0"/>
          <w:numId w:val="13"/>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49C0E869" w14:textId="50CE390D" w:rsidR="00993863" w:rsidRPr="00633675" w:rsidRDefault="00993863" w:rsidP="00566577">
      <w:pPr>
        <w:pStyle w:val="Zkladntext"/>
        <w:numPr>
          <w:ilvl w:val="0"/>
          <w:numId w:val="13"/>
        </w:numPr>
        <w:tabs>
          <w:tab w:val="clear" w:pos="645"/>
          <w:tab w:val="clear" w:pos="1418"/>
          <w:tab w:val="left" w:pos="426"/>
          <w:tab w:val="num" w:pos="720"/>
        </w:tabs>
        <w:spacing w:before="0" w:after="120" w:line="276" w:lineRule="auto"/>
        <w:ind w:left="1134" w:hanging="425"/>
        <w:rPr>
          <w:rFonts w:ascii="Tahoma" w:hAnsi="Tahoma" w:cs="Tahoma"/>
          <w:color w:val="000000"/>
          <w:sz w:val="20"/>
          <w:szCs w:val="22"/>
        </w:rPr>
      </w:pPr>
      <w:r w:rsidRPr="00633675">
        <w:rPr>
          <w:rFonts w:ascii="Tahoma" w:hAnsi="Tahoma" w:cs="Tahoma"/>
          <w:color w:val="000000"/>
          <w:sz w:val="20"/>
          <w:szCs w:val="22"/>
        </w:rPr>
        <w:t xml:space="preserve">Kupující je povinen prohlédnout </w:t>
      </w:r>
      <w:r w:rsidR="00855314" w:rsidRPr="00633675">
        <w:rPr>
          <w:rFonts w:ascii="Tahoma" w:hAnsi="Tahoma" w:cs="Tahoma"/>
          <w:color w:val="000000"/>
          <w:sz w:val="20"/>
          <w:szCs w:val="22"/>
        </w:rPr>
        <w:t>instalovan</w:t>
      </w:r>
      <w:r w:rsidR="00BB0AB3">
        <w:rPr>
          <w:rFonts w:ascii="Tahoma" w:hAnsi="Tahoma" w:cs="Tahoma"/>
          <w:color w:val="000000"/>
          <w:sz w:val="20"/>
          <w:szCs w:val="22"/>
        </w:rPr>
        <w:t>ý</w:t>
      </w:r>
      <w:r w:rsidR="00855314" w:rsidRPr="00633675">
        <w:rPr>
          <w:rFonts w:ascii="Tahoma" w:hAnsi="Tahoma" w:cs="Tahoma"/>
          <w:color w:val="000000"/>
          <w:sz w:val="20"/>
          <w:szCs w:val="22"/>
        </w:rPr>
        <w:t xml:space="preserve"> </w:t>
      </w:r>
      <w:r w:rsidR="00BB0AB3">
        <w:rPr>
          <w:rFonts w:ascii="Tahoma" w:hAnsi="Tahoma" w:cs="Tahoma"/>
          <w:color w:val="000000"/>
          <w:sz w:val="20"/>
          <w:szCs w:val="22"/>
        </w:rPr>
        <w:t>předmět smlouvy</w:t>
      </w:r>
      <w:r w:rsidRPr="00633675">
        <w:rPr>
          <w:rFonts w:ascii="Tahoma" w:hAnsi="Tahoma" w:cs="Tahoma"/>
          <w:color w:val="000000"/>
          <w:sz w:val="20"/>
          <w:szCs w:val="22"/>
        </w:rPr>
        <w:t xml:space="preserve"> v den předání a převzetí v rozsahu znalostí rozhodných pro uživatele </w:t>
      </w:r>
      <w:r w:rsidR="00BB0AB3">
        <w:rPr>
          <w:rFonts w:ascii="Tahoma" w:hAnsi="Tahoma" w:cs="Tahoma"/>
          <w:color w:val="000000"/>
          <w:sz w:val="20"/>
          <w:szCs w:val="22"/>
        </w:rPr>
        <w:t>předmětu smlouvy</w:t>
      </w:r>
      <w:r w:rsidRPr="00633675">
        <w:rPr>
          <w:rFonts w:ascii="Tahoma" w:hAnsi="Tahoma" w:cs="Tahoma"/>
          <w:color w:val="000000"/>
          <w:sz w:val="20"/>
          <w:szCs w:val="22"/>
        </w:rPr>
        <w:t>. V případě zjištěn</w:t>
      </w:r>
      <w:r w:rsidR="00015E20">
        <w:rPr>
          <w:rFonts w:ascii="Tahoma" w:hAnsi="Tahoma" w:cs="Tahoma"/>
          <w:color w:val="000000"/>
          <w:sz w:val="20"/>
          <w:szCs w:val="22"/>
        </w:rPr>
        <w:t>í zjevné</w:t>
      </w:r>
      <w:r w:rsidRPr="00633675">
        <w:rPr>
          <w:rFonts w:ascii="Tahoma" w:hAnsi="Tahoma" w:cs="Tahoma"/>
          <w:color w:val="000000"/>
          <w:sz w:val="20"/>
          <w:szCs w:val="22"/>
        </w:rPr>
        <w:t xml:space="preserve"> vad</w:t>
      </w:r>
      <w:r w:rsidR="00015E20">
        <w:rPr>
          <w:rFonts w:ascii="Tahoma" w:hAnsi="Tahoma" w:cs="Tahoma"/>
          <w:color w:val="000000"/>
          <w:sz w:val="20"/>
          <w:szCs w:val="22"/>
        </w:rPr>
        <w:t>y</w:t>
      </w:r>
      <w:r w:rsidRPr="00633675">
        <w:rPr>
          <w:rFonts w:ascii="Tahoma" w:hAnsi="Tahoma" w:cs="Tahoma"/>
          <w:color w:val="000000"/>
          <w:sz w:val="20"/>
          <w:szCs w:val="22"/>
        </w:rPr>
        <w:t xml:space="preserve"> m</w:t>
      </w:r>
      <w:r w:rsidR="00015E20">
        <w:rPr>
          <w:rFonts w:ascii="Tahoma" w:hAnsi="Tahoma" w:cs="Tahoma"/>
          <w:color w:val="000000"/>
          <w:sz w:val="20"/>
          <w:szCs w:val="22"/>
        </w:rPr>
        <w:t>á</w:t>
      </w:r>
      <w:r w:rsidRPr="00633675">
        <w:rPr>
          <w:rFonts w:ascii="Tahoma" w:hAnsi="Tahoma" w:cs="Tahoma"/>
          <w:color w:val="000000"/>
          <w:sz w:val="20"/>
          <w:szCs w:val="22"/>
        </w:rPr>
        <w:t xml:space="preserve"> kupující</w:t>
      </w:r>
      <w:r w:rsidR="00015E20">
        <w:rPr>
          <w:rFonts w:ascii="Tahoma" w:hAnsi="Tahoma" w:cs="Tahoma"/>
          <w:color w:val="000000"/>
          <w:sz w:val="20"/>
          <w:szCs w:val="22"/>
        </w:rPr>
        <w:t xml:space="preserve"> právo</w:t>
      </w:r>
      <w:r w:rsidRPr="00633675">
        <w:rPr>
          <w:rFonts w:ascii="Tahoma" w:hAnsi="Tahoma" w:cs="Tahoma"/>
          <w:color w:val="000000"/>
          <w:sz w:val="20"/>
          <w:szCs w:val="22"/>
        </w:rPr>
        <w:t xml:space="preserve"> odmítnout převzetí</w:t>
      </w:r>
      <w:r w:rsidR="00855314" w:rsidRPr="00633675">
        <w:rPr>
          <w:rFonts w:ascii="Tahoma" w:hAnsi="Tahoma" w:cs="Tahoma"/>
          <w:color w:val="000000"/>
          <w:sz w:val="20"/>
          <w:szCs w:val="22"/>
        </w:rPr>
        <w:t xml:space="preserve"> instalovaného</w:t>
      </w:r>
      <w:r w:rsidRPr="00633675">
        <w:rPr>
          <w:rFonts w:ascii="Tahoma" w:hAnsi="Tahoma" w:cs="Tahoma"/>
          <w:color w:val="000000"/>
          <w:sz w:val="20"/>
          <w:szCs w:val="22"/>
        </w:rPr>
        <w:t xml:space="preserve"> </w:t>
      </w:r>
      <w:r w:rsidR="00BB0AB3">
        <w:rPr>
          <w:rFonts w:ascii="Tahoma" w:hAnsi="Tahoma" w:cs="Tahoma"/>
          <w:color w:val="000000"/>
          <w:sz w:val="20"/>
          <w:szCs w:val="22"/>
        </w:rPr>
        <w:t>předmětu smlouvy</w:t>
      </w:r>
      <w:r w:rsidRPr="00633675">
        <w:rPr>
          <w:rFonts w:ascii="Tahoma" w:hAnsi="Tahoma" w:cs="Tahoma"/>
          <w:color w:val="000000"/>
          <w:sz w:val="20"/>
          <w:szCs w:val="22"/>
        </w:rPr>
        <w:t>.</w:t>
      </w: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7" w:name="_Hlk81507470"/>
      <w:bookmarkEnd w:id="5"/>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566577">
      <w:pPr>
        <w:pStyle w:val="Import14"/>
        <w:numPr>
          <w:ilvl w:val="0"/>
          <w:numId w:val="33"/>
        </w:numPr>
        <w:tabs>
          <w:tab w:val="clear" w:pos="864"/>
        </w:tabs>
        <w:spacing w:after="120" w:line="276" w:lineRule="auto"/>
        <w:ind w:left="426" w:hanging="426"/>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A09C902" w14:textId="55A8A370" w:rsidR="001F2AC2" w:rsidRPr="001F2AC2" w:rsidRDefault="00EB72C0" w:rsidP="00566577">
      <w:pPr>
        <w:numPr>
          <w:ilvl w:val="0"/>
          <w:numId w:val="5"/>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 xml:space="preserve">Prodávající je povinen oznámit </w:t>
      </w:r>
      <w:r w:rsidR="00B25362" w:rsidRPr="001F2AC2">
        <w:rPr>
          <w:rFonts w:ascii="Tahoma" w:hAnsi="Tahoma" w:cs="Tahoma"/>
          <w:sz w:val="20"/>
          <w:szCs w:val="22"/>
        </w:rPr>
        <w:t>k</w:t>
      </w:r>
      <w:r w:rsidRPr="001F2AC2">
        <w:rPr>
          <w:rFonts w:ascii="Tahoma" w:hAnsi="Tahoma" w:cs="Tahoma"/>
          <w:sz w:val="20"/>
          <w:szCs w:val="22"/>
        </w:rPr>
        <w:t>upujícímu</w:t>
      </w:r>
      <w:r w:rsidR="00B25362" w:rsidRPr="001F2AC2">
        <w:rPr>
          <w:rFonts w:ascii="Tahoma" w:hAnsi="Tahoma" w:cs="Tahoma"/>
          <w:sz w:val="20"/>
          <w:szCs w:val="22"/>
        </w:rPr>
        <w:t xml:space="preserve"> nejpozději 5</w:t>
      </w:r>
      <w:r w:rsidRPr="001F2AC2">
        <w:rPr>
          <w:rFonts w:ascii="Tahoma" w:hAnsi="Tahoma" w:cs="Tahoma"/>
          <w:sz w:val="20"/>
          <w:szCs w:val="22"/>
        </w:rPr>
        <w:t xml:space="preserve"> dnů předem, kdy bude zařízení </w:t>
      </w:r>
      <w:r w:rsidR="00D81C88" w:rsidRPr="001F2AC2">
        <w:rPr>
          <w:rFonts w:ascii="Tahoma" w:hAnsi="Tahoma" w:cs="Tahoma"/>
          <w:sz w:val="20"/>
          <w:szCs w:val="22"/>
        </w:rPr>
        <w:t>připraveno k předání a převzetí.</w:t>
      </w:r>
      <w:r w:rsidR="00BB0AB3" w:rsidRPr="001F2AC2">
        <w:rPr>
          <w:rFonts w:ascii="Tahoma" w:hAnsi="Tahoma" w:cs="Tahoma"/>
          <w:sz w:val="20"/>
          <w:szCs w:val="22"/>
        </w:rPr>
        <w:t xml:space="preserve"> Kontaktní osoba </w:t>
      </w:r>
      <w:r w:rsidR="001F2AC2" w:rsidRPr="001F2AC2">
        <w:rPr>
          <w:rFonts w:ascii="Tahoma" w:hAnsi="Tahoma" w:cs="Tahoma"/>
          <w:sz w:val="20"/>
          <w:szCs w:val="22"/>
        </w:rPr>
        <w:t xml:space="preserve">Ing. </w:t>
      </w:r>
      <w:r w:rsidR="00E6187E">
        <w:rPr>
          <w:rFonts w:ascii="Tahoma" w:hAnsi="Tahoma" w:cs="Tahoma"/>
          <w:sz w:val="20"/>
          <w:szCs w:val="22"/>
        </w:rPr>
        <w:t xml:space="preserve">Mária </w:t>
      </w:r>
      <w:r w:rsidR="00A71378">
        <w:rPr>
          <w:rFonts w:ascii="Tahoma" w:hAnsi="Tahoma" w:cs="Tahoma"/>
          <w:sz w:val="20"/>
          <w:szCs w:val="22"/>
        </w:rPr>
        <w:t>Svobodo</w:t>
      </w:r>
      <w:r w:rsidR="00E6187E">
        <w:rPr>
          <w:rFonts w:ascii="Tahoma" w:hAnsi="Tahoma" w:cs="Tahoma"/>
          <w:sz w:val="20"/>
          <w:szCs w:val="22"/>
        </w:rPr>
        <w:t>vá</w:t>
      </w:r>
      <w:r w:rsidR="001F2AC2" w:rsidRPr="001F2AC2">
        <w:rPr>
          <w:rFonts w:ascii="Tahoma" w:hAnsi="Tahoma" w:cs="Tahoma"/>
          <w:sz w:val="20"/>
          <w:szCs w:val="22"/>
        </w:rPr>
        <w:t>,</w:t>
      </w:r>
      <w:r w:rsidR="00E6187E">
        <w:rPr>
          <w:rFonts w:ascii="Tahoma" w:hAnsi="Tahoma" w:cs="Tahoma"/>
          <w:sz w:val="20"/>
          <w:szCs w:val="22"/>
        </w:rPr>
        <w:t xml:space="preserve"> vedoucí oddělení </w:t>
      </w:r>
      <w:r w:rsidR="001F2AC2" w:rsidRPr="001F2AC2">
        <w:rPr>
          <w:rFonts w:ascii="Tahoma" w:hAnsi="Tahoma" w:cs="Tahoma"/>
          <w:sz w:val="20"/>
          <w:szCs w:val="22"/>
        </w:rPr>
        <w:t>zdravotnické techniky, tel.: + 420 7</w:t>
      </w:r>
      <w:r w:rsidR="00E6187E">
        <w:rPr>
          <w:rFonts w:ascii="Tahoma" w:hAnsi="Tahoma" w:cs="Tahoma"/>
          <w:sz w:val="20"/>
          <w:szCs w:val="22"/>
        </w:rPr>
        <w:t>39</w:t>
      </w:r>
      <w:r w:rsidR="001F2AC2" w:rsidRPr="001F2AC2">
        <w:rPr>
          <w:rFonts w:ascii="Tahoma" w:hAnsi="Tahoma" w:cs="Tahoma"/>
          <w:sz w:val="20"/>
          <w:szCs w:val="22"/>
        </w:rPr>
        <w:t> </w:t>
      </w:r>
      <w:r w:rsidR="00E6187E">
        <w:rPr>
          <w:rFonts w:ascii="Tahoma" w:hAnsi="Tahoma" w:cs="Tahoma"/>
          <w:sz w:val="20"/>
          <w:szCs w:val="22"/>
        </w:rPr>
        <w:t>323</w:t>
      </w:r>
      <w:r w:rsidR="001F2AC2" w:rsidRPr="001F2AC2">
        <w:rPr>
          <w:rFonts w:ascii="Tahoma" w:hAnsi="Tahoma" w:cs="Tahoma"/>
          <w:sz w:val="20"/>
          <w:szCs w:val="22"/>
        </w:rPr>
        <w:t> </w:t>
      </w:r>
      <w:r w:rsidR="00E6187E">
        <w:rPr>
          <w:rFonts w:ascii="Tahoma" w:hAnsi="Tahoma" w:cs="Tahoma"/>
          <w:sz w:val="20"/>
          <w:szCs w:val="22"/>
        </w:rPr>
        <w:t>864</w:t>
      </w:r>
      <w:r w:rsidR="001F2AC2" w:rsidRPr="001F2AC2">
        <w:rPr>
          <w:rFonts w:ascii="Tahoma" w:hAnsi="Tahoma" w:cs="Tahoma"/>
          <w:sz w:val="20"/>
          <w:szCs w:val="22"/>
        </w:rPr>
        <w:t>.</w:t>
      </w:r>
    </w:p>
    <w:p w14:paraId="79AC6D54" w14:textId="5CA9680E" w:rsidR="00066D69" w:rsidRPr="001F2AC2" w:rsidRDefault="00BB0AB3" w:rsidP="00566577">
      <w:pPr>
        <w:numPr>
          <w:ilvl w:val="0"/>
          <w:numId w:val="5"/>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566577">
      <w:pPr>
        <w:numPr>
          <w:ilvl w:val="0"/>
          <w:numId w:val="5"/>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566577">
      <w:pPr>
        <w:numPr>
          <w:ilvl w:val="0"/>
          <w:numId w:val="6"/>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566577">
      <w:pPr>
        <w:numPr>
          <w:ilvl w:val="0"/>
          <w:numId w:val="6"/>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566577">
      <w:pPr>
        <w:numPr>
          <w:ilvl w:val="0"/>
          <w:numId w:val="5"/>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566577">
      <w:pPr>
        <w:numPr>
          <w:ilvl w:val="0"/>
          <w:numId w:val="5"/>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566577">
      <w:pPr>
        <w:numPr>
          <w:ilvl w:val="0"/>
          <w:numId w:val="5"/>
        </w:numPr>
        <w:tabs>
          <w:tab w:val="clear" w:pos="502"/>
        </w:tabs>
        <w:spacing w:after="120" w:line="276" w:lineRule="auto"/>
        <w:ind w:left="425" w:hanging="425"/>
        <w:jc w:val="both"/>
        <w:rPr>
          <w:rFonts w:ascii="Tahoma" w:hAnsi="Tahoma" w:cs="Tahoma"/>
          <w:sz w:val="20"/>
          <w:szCs w:val="22"/>
        </w:rPr>
      </w:pPr>
      <w:bookmarkStart w:id="8"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w:t>
      </w:r>
      <w:r w:rsidRPr="00957E33">
        <w:rPr>
          <w:rFonts w:ascii="Tahoma" w:hAnsi="Tahoma" w:cs="Tahoma"/>
          <w:sz w:val="20"/>
          <w:szCs w:val="22"/>
        </w:rPr>
        <w:lastRenderedPageBreak/>
        <w:t>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4F334B" w:rsidR="003B7B6F" w:rsidRPr="00346E49" w:rsidRDefault="003B7B6F" w:rsidP="00566577">
      <w:pPr>
        <w:numPr>
          <w:ilvl w:val="0"/>
          <w:numId w:val="5"/>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w:t>
      </w:r>
      <w:r w:rsidR="004042DD">
        <w:rPr>
          <w:rFonts w:ascii="Tahoma" w:hAnsi="Tahoma" w:cs="Tahoma"/>
          <w:sz w:val="20"/>
          <w:szCs w:val="20"/>
        </w:rPr>
        <w:t>kupujícího</w:t>
      </w:r>
      <w:r>
        <w:rPr>
          <w:rFonts w:ascii="Tahoma" w:hAnsi="Tahoma" w:cs="Tahoma"/>
          <w:sz w:val="20"/>
          <w:szCs w:val="20"/>
        </w:rPr>
        <w:t xml:space="preserv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w:t>
      </w:r>
      <w:r w:rsidR="004042DD">
        <w:rPr>
          <w:rFonts w:ascii="Tahoma" w:hAnsi="Tahoma" w:cs="Tahoma"/>
          <w:sz w:val="20"/>
          <w:szCs w:val="20"/>
        </w:rPr>
        <w:t>kupujícím</w:t>
      </w:r>
      <w:r w:rsidRPr="00346E49">
        <w:rPr>
          <w:rFonts w:ascii="Tahoma" w:hAnsi="Tahoma" w:cs="Tahoma"/>
          <w:sz w:val="20"/>
          <w:szCs w:val="20"/>
        </w:rPr>
        <w:t xml:space="preserve">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bookmarkEnd w:id="7"/>
    <w:bookmarkEnd w:id="8"/>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73A69C7A" w:rsidR="00BD6347" w:rsidRPr="00633675" w:rsidRDefault="00BD6347" w:rsidP="00566577">
      <w:pPr>
        <w:numPr>
          <w:ilvl w:val="0"/>
          <w:numId w:val="3"/>
        </w:numPr>
        <w:tabs>
          <w:tab w:val="clear" w:pos="720"/>
          <w:tab w:val="num" w:pos="0"/>
        </w:tabs>
        <w:spacing w:after="120" w:line="276" w:lineRule="auto"/>
        <w:ind w:left="425" w:hanging="425"/>
        <w:jc w:val="both"/>
        <w:rPr>
          <w:rFonts w:ascii="Tahoma" w:hAnsi="Tahoma" w:cs="Tahoma"/>
          <w:sz w:val="20"/>
          <w:szCs w:val="22"/>
        </w:rPr>
      </w:pPr>
      <w:bookmarkStart w:id="9"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w:t>
      </w:r>
      <w:r w:rsidR="0058472E">
        <w:rPr>
          <w:rFonts w:ascii="Tahoma" w:hAnsi="Tahoma" w:cs="Tahoma"/>
          <w:sz w:val="20"/>
          <w:szCs w:val="22"/>
        </w:rPr>
        <w:t>kupujícího</w:t>
      </w:r>
      <w:r w:rsidRPr="00633675">
        <w:rPr>
          <w:rFonts w:ascii="Tahoma" w:hAnsi="Tahoma" w:cs="Tahoma"/>
          <w:sz w:val="20"/>
          <w:szCs w:val="22"/>
        </w:rPr>
        <w:t xml:space="preserve"> s obsluhou (proškolení zaměstnanců).</w:t>
      </w:r>
    </w:p>
    <w:p w14:paraId="084BD390" w14:textId="6D9F6C8A" w:rsidR="009439E0" w:rsidRPr="00A71287" w:rsidRDefault="00767225" w:rsidP="00566577">
      <w:pPr>
        <w:numPr>
          <w:ilvl w:val="0"/>
          <w:numId w:val="3"/>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4437E9">
        <w:rPr>
          <w:rFonts w:ascii="Tahoma" w:hAnsi="Tahoma" w:cs="Tahoma"/>
          <w:b/>
          <w:bCs/>
          <w:color w:val="000000"/>
          <w:sz w:val="19"/>
          <w:szCs w:val="19"/>
          <w:shd w:val="clear" w:color="auto" w:fill="FFFFFF"/>
        </w:rPr>
        <w:t>OPA/Hal/202</w:t>
      </w:r>
      <w:r w:rsidR="001532CE">
        <w:rPr>
          <w:rFonts w:ascii="Tahoma" w:hAnsi="Tahoma" w:cs="Tahoma"/>
          <w:b/>
          <w:bCs/>
          <w:color w:val="000000"/>
          <w:sz w:val="19"/>
          <w:szCs w:val="19"/>
          <w:shd w:val="clear" w:color="auto" w:fill="FFFFFF"/>
        </w:rPr>
        <w:t>6</w:t>
      </w:r>
      <w:r w:rsidR="004437E9">
        <w:rPr>
          <w:rFonts w:ascii="Tahoma" w:hAnsi="Tahoma" w:cs="Tahoma"/>
          <w:b/>
          <w:bCs/>
          <w:color w:val="000000"/>
          <w:sz w:val="19"/>
          <w:szCs w:val="19"/>
          <w:shd w:val="clear" w:color="auto" w:fill="FFFFFF"/>
        </w:rPr>
        <w:t>/</w:t>
      </w:r>
      <w:r w:rsidR="001532CE">
        <w:rPr>
          <w:rFonts w:ascii="Tahoma" w:hAnsi="Tahoma" w:cs="Tahoma"/>
          <w:b/>
          <w:bCs/>
          <w:color w:val="000000"/>
          <w:sz w:val="19"/>
          <w:szCs w:val="19"/>
          <w:shd w:val="clear" w:color="auto" w:fill="FFFFFF"/>
        </w:rPr>
        <w:t>0</w:t>
      </w:r>
      <w:r w:rsidR="00C93444">
        <w:rPr>
          <w:rFonts w:ascii="Tahoma" w:hAnsi="Tahoma" w:cs="Tahoma"/>
          <w:b/>
          <w:bCs/>
          <w:color w:val="000000"/>
          <w:sz w:val="19"/>
          <w:szCs w:val="19"/>
          <w:shd w:val="clear" w:color="auto" w:fill="FFFFFF"/>
        </w:rPr>
        <w:t>8</w:t>
      </w:r>
      <w:r w:rsidR="009439E0" w:rsidRPr="00A71287">
        <w:rPr>
          <w:rFonts w:ascii="Verdana" w:hAnsi="Verdana"/>
          <w:b/>
          <w:sz w:val="18"/>
          <w:szCs w:val="18"/>
        </w:rPr>
        <w:t>)</w:t>
      </w:r>
      <w:r w:rsidR="009439E0">
        <w:rPr>
          <w:rFonts w:ascii="Verdana" w:hAnsi="Verdana"/>
          <w:b/>
          <w:sz w:val="18"/>
          <w:szCs w:val="18"/>
        </w:rPr>
        <w:t>.</w:t>
      </w:r>
    </w:p>
    <w:p w14:paraId="5DF10A1E" w14:textId="00A5CB93" w:rsidR="00767225" w:rsidRPr="004042DD" w:rsidRDefault="00767225" w:rsidP="00566577">
      <w:pPr>
        <w:numPr>
          <w:ilvl w:val="0"/>
          <w:numId w:val="3"/>
        </w:numPr>
        <w:tabs>
          <w:tab w:val="clear" w:pos="720"/>
          <w:tab w:val="num" w:pos="0"/>
        </w:tabs>
        <w:spacing w:after="120" w:line="276" w:lineRule="auto"/>
        <w:ind w:left="425" w:hanging="425"/>
        <w:jc w:val="both"/>
        <w:rPr>
          <w:rFonts w:ascii="Tahoma" w:hAnsi="Tahoma" w:cs="Tahoma"/>
          <w:i/>
          <w:sz w:val="20"/>
          <w:szCs w:val="22"/>
        </w:rPr>
      </w:pPr>
      <w:r w:rsidRPr="009439E0">
        <w:rPr>
          <w:rFonts w:ascii="Tahoma" w:hAnsi="Tahoma" w:cs="Tahoma"/>
          <w:sz w:val="20"/>
          <w:szCs w:val="22"/>
        </w:rPr>
        <w:t xml:space="preserve">Lhůta splatnosti faktury činí </w:t>
      </w:r>
      <w:r w:rsidRPr="00C93444">
        <w:rPr>
          <w:rFonts w:ascii="Tahoma" w:hAnsi="Tahoma" w:cs="Tahoma"/>
          <w:b/>
          <w:sz w:val="20"/>
          <w:szCs w:val="22"/>
        </w:rPr>
        <w:t>30 kalendářních dnů</w:t>
      </w:r>
      <w:r w:rsidRPr="009439E0">
        <w:rPr>
          <w:rFonts w:ascii="Tahoma" w:hAnsi="Tahoma" w:cs="Tahoma"/>
          <w:sz w:val="20"/>
          <w:szCs w:val="22"/>
        </w:rPr>
        <w:t xml:space="preserve">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hyperlink r:id="rId8" w:history="1">
        <w:r w:rsidR="001B3909" w:rsidRPr="009439E0">
          <w:rPr>
            <w:rStyle w:val="Hypertextovodkaz"/>
            <w:rFonts w:ascii="Tahoma" w:hAnsi="Tahoma" w:cs="Tahoma"/>
            <w:sz w:val="20"/>
            <w:szCs w:val="20"/>
          </w:rPr>
          <w:t>fin.uct@snopava.cz</w:t>
        </w:r>
      </w:hyperlink>
      <w:r w:rsidR="004042DD">
        <w:rPr>
          <w:rStyle w:val="Hypertextovodkaz"/>
          <w:rFonts w:ascii="Tahoma" w:hAnsi="Tahoma" w:cs="Tahoma"/>
          <w:sz w:val="20"/>
          <w:szCs w:val="20"/>
          <w:u w:val="none"/>
        </w:rPr>
        <w:t xml:space="preserve"> </w:t>
      </w:r>
      <w:r w:rsidR="004042DD" w:rsidRPr="004042DD">
        <w:rPr>
          <w:rStyle w:val="Hypertextovodkaz"/>
          <w:rFonts w:ascii="Tahoma" w:hAnsi="Tahoma" w:cs="Tahoma"/>
          <w:i/>
          <w:color w:val="auto"/>
          <w:sz w:val="20"/>
          <w:szCs w:val="20"/>
          <w:u w:val="none"/>
        </w:rPr>
        <w:t>(v</w:t>
      </w:r>
      <w:r w:rsidR="004042DD">
        <w:rPr>
          <w:rStyle w:val="Hypertextovodkaz"/>
          <w:rFonts w:ascii="Tahoma" w:hAnsi="Tahoma" w:cs="Tahoma"/>
          <w:i/>
          <w:color w:val="auto"/>
          <w:sz w:val="20"/>
          <w:szCs w:val="20"/>
        </w:rPr>
        <w:t xml:space="preserve"> </w:t>
      </w:r>
      <w:r w:rsidR="004042DD" w:rsidRPr="004042DD">
        <w:rPr>
          <w:rStyle w:val="Hypertextovodkaz"/>
          <w:rFonts w:ascii="Tahoma" w:hAnsi="Tahoma" w:cs="Tahoma"/>
          <w:i/>
          <w:color w:val="auto"/>
          <w:sz w:val="20"/>
          <w:szCs w:val="20"/>
          <w:u w:val="none"/>
        </w:rPr>
        <w:t>elektronickém formátu (např. PDF/A)</w:t>
      </w:r>
      <w:r w:rsidR="004042DD">
        <w:rPr>
          <w:rStyle w:val="Hypertextovodkaz"/>
          <w:rFonts w:ascii="Tahoma" w:hAnsi="Tahoma" w:cs="Tahoma"/>
          <w:i/>
          <w:color w:val="auto"/>
          <w:sz w:val="20"/>
          <w:szCs w:val="20"/>
          <w:u w:val="none"/>
        </w:rPr>
        <w:t>.</w:t>
      </w:r>
    </w:p>
    <w:p w14:paraId="031E0C20" w14:textId="77777777" w:rsidR="00767225" w:rsidRPr="00633675" w:rsidRDefault="00767225" w:rsidP="00566577">
      <w:pPr>
        <w:numPr>
          <w:ilvl w:val="0"/>
          <w:numId w:val="3"/>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566577">
      <w:pPr>
        <w:numPr>
          <w:ilvl w:val="0"/>
          <w:numId w:val="3"/>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566577">
      <w:pPr>
        <w:numPr>
          <w:ilvl w:val="0"/>
          <w:numId w:val="3"/>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566577">
      <w:pPr>
        <w:numPr>
          <w:ilvl w:val="0"/>
          <w:numId w:val="16"/>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566577">
      <w:pPr>
        <w:numPr>
          <w:ilvl w:val="0"/>
          <w:numId w:val="16"/>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566577">
      <w:pPr>
        <w:numPr>
          <w:ilvl w:val="0"/>
          <w:numId w:val="16"/>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9"/>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lastRenderedPageBreak/>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0" w:name="_Hlk82418012"/>
      <w:r w:rsidRPr="00633675">
        <w:rPr>
          <w:rFonts w:ascii="Tahoma" w:hAnsi="Tahoma" w:cs="Tahoma"/>
          <w:b/>
          <w:sz w:val="20"/>
          <w:szCs w:val="22"/>
        </w:rPr>
        <w:t>Záruka za jakost</w:t>
      </w:r>
    </w:p>
    <w:p w14:paraId="7097B8BA" w14:textId="3902D2E8" w:rsidR="00066D69" w:rsidRPr="00633675" w:rsidRDefault="001F2AC2" w:rsidP="00566577">
      <w:pPr>
        <w:numPr>
          <w:ilvl w:val="3"/>
          <w:numId w:val="3"/>
        </w:numPr>
        <w:tabs>
          <w:tab w:val="num" w:pos="-7230"/>
        </w:tabs>
        <w:spacing w:after="120" w:line="276" w:lineRule="auto"/>
        <w:ind w:left="425" w:hanging="425"/>
        <w:jc w:val="both"/>
        <w:rPr>
          <w:rFonts w:ascii="Tahoma" w:hAnsi="Tahoma" w:cs="Tahoma"/>
          <w:sz w:val="20"/>
          <w:szCs w:val="22"/>
        </w:rPr>
      </w:pPr>
      <w:bookmarkStart w:id="11" w:name="_Hlk81508212"/>
      <w:bookmarkEnd w:id="10"/>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Pr>
          <w:rFonts w:ascii="Tahoma" w:hAnsi="Tahoma" w:cs="Tahoma"/>
          <w:sz w:val="20"/>
          <w:szCs w:val="22"/>
        </w:rPr>
        <w:t> </w:t>
      </w:r>
      <w:r w:rsidRPr="00633675">
        <w:rPr>
          <w:rFonts w:ascii="Tahoma" w:hAnsi="Tahoma" w:cs="Tahoma"/>
          <w:sz w:val="20"/>
          <w:szCs w:val="22"/>
        </w:rPr>
        <w:t>délce</w:t>
      </w:r>
      <w:r w:rsidRPr="00F514D6">
        <w:rPr>
          <w:rFonts w:ascii="Tahoma" w:hAnsi="Tahoma" w:cs="Tahoma"/>
          <w:sz w:val="20"/>
          <w:szCs w:val="22"/>
          <w:highlight w:val="yellow"/>
        </w:rPr>
        <w:t>……..</w:t>
      </w:r>
      <w:r>
        <w:rPr>
          <w:rFonts w:ascii="Tahoma" w:hAnsi="Tahoma" w:cs="Tahoma"/>
          <w:sz w:val="20"/>
          <w:szCs w:val="22"/>
        </w:rPr>
        <w:t xml:space="preserve"> měsíců</w:t>
      </w:r>
      <w:r w:rsidRPr="00633675">
        <w:rPr>
          <w:rFonts w:ascii="Tahoma" w:hAnsi="Tahoma" w:cs="Tahoma"/>
          <w:sz w:val="20"/>
          <w:szCs w:val="22"/>
        </w:rPr>
        <w:t xml:space="preserve"> </w:t>
      </w:r>
      <w:r w:rsidRPr="00071BB2">
        <w:rPr>
          <w:rFonts w:ascii="Tahoma" w:hAnsi="Tahoma" w:cs="Tahoma"/>
          <w:i/>
          <w:color w:val="FF0000"/>
          <w:sz w:val="20"/>
          <w:szCs w:val="22"/>
        </w:rPr>
        <w:t xml:space="preserve">(min. </w:t>
      </w:r>
      <w:r w:rsidRPr="00071BB2">
        <w:rPr>
          <w:rFonts w:ascii="Tahoma" w:hAnsi="Tahoma" w:cs="Tahoma"/>
          <w:b/>
          <w:i/>
          <w:color w:val="FF0000"/>
          <w:sz w:val="20"/>
          <w:szCs w:val="22"/>
        </w:rPr>
        <w:t>24</w:t>
      </w:r>
      <w:r w:rsidRPr="00071BB2">
        <w:rPr>
          <w:rFonts w:ascii="Tahoma" w:hAnsi="Tahoma" w:cs="Tahoma"/>
          <w:i/>
          <w:color w:val="FF0000"/>
          <w:sz w:val="20"/>
          <w:szCs w:val="22"/>
        </w:rPr>
        <w:t xml:space="preserve"> měsíců)</w:t>
      </w:r>
      <w:r>
        <w:rPr>
          <w:rFonts w:ascii="Tahoma" w:hAnsi="Tahoma" w:cs="Tahoma"/>
          <w:sz w:val="20"/>
          <w:szCs w:val="22"/>
        </w:rPr>
        <w:t xml:space="preserve">,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566577">
      <w:pPr>
        <w:numPr>
          <w:ilvl w:val="3"/>
          <w:numId w:val="3"/>
        </w:numPr>
        <w:tabs>
          <w:tab w:val="num" w:pos="-7230"/>
        </w:tabs>
        <w:spacing w:after="120" w:line="276" w:lineRule="auto"/>
        <w:ind w:left="425" w:hanging="425"/>
        <w:jc w:val="both"/>
        <w:rPr>
          <w:rFonts w:ascii="Tahoma" w:hAnsi="Tahoma" w:cs="Tahoma"/>
          <w:sz w:val="20"/>
          <w:szCs w:val="22"/>
        </w:rPr>
      </w:pPr>
      <w:bookmarkStart w:id="12" w:name="_Hlk81508359"/>
      <w:bookmarkEnd w:id="11"/>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27FFAD4F" w:rsidR="001D18D9" w:rsidRPr="00633675" w:rsidRDefault="001D18D9" w:rsidP="00566577">
      <w:pPr>
        <w:numPr>
          <w:ilvl w:val="3"/>
          <w:numId w:val="3"/>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násl. tohoto článku smlouvy.</w:t>
      </w:r>
    </w:p>
    <w:p w14:paraId="13CEE6DE" w14:textId="166A265C" w:rsidR="0062165B" w:rsidRDefault="006976FB" w:rsidP="00566577">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566577">
      <w:pPr>
        <w:numPr>
          <w:ilvl w:val="3"/>
          <w:numId w:val="3"/>
        </w:numPr>
        <w:tabs>
          <w:tab w:val="num" w:pos="-7230"/>
        </w:tabs>
        <w:spacing w:after="120" w:line="276" w:lineRule="auto"/>
        <w:ind w:left="425" w:hanging="425"/>
        <w:jc w:val="both"/>
        <w:rPr>
          <w:rFonts w:ascii="Tahoma" w:hAnsi="Tahoma" w:cs="Tahoma"/>
          <w:sz w:val="20"/>
          <w:szCs w:val="20"/>
        </w:rPr>
      </w:pPr>
      <w:bookmarkStart w:id="13" w:name="_Hlk81509058"/>
      <w:bookmarkEnd w:id="12"/>
      <w:r w:rsidRPr="00AC0D11">
        <w:rPr>
          <w:rFonts w:ascii="Tahoma" w:hAnsi="Tahoma" w:cs="Tahoma"/>
          <w:sz w:val="20"/>
          <w:szCs w:val="20"/>
        </w:rPr>
        <w:t>Záruční servis podle této smlouvy zahrnuje:</w:t>
      </w:r>
    </w:p>
    <w:p w14:paraId="5041649B" w14:textId="77777777" w:rsidR="00AC0D11" w:rsidRDefault="00AC0D11" w:rsidP="00566577">
      <w:pPr>
        <w:widowControl w:val="0"/>
        <w:numPr>
          <w:ilvl w:val="0"/>
          <w:numId w:val="24"/>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566577">
      <w:pPr>
        <w:widowControl w:val="0"/>
        <w:numPr>
          <w:ilvl w:val="0"/>
          <w:numId w:val="24"/>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3DC1A0BF" w:rsidR="00AC0D11" w:rsidRDefault="00AC0D11" w:rsidP="00566577">
      <w:pPr>
        <w:widowControl w:val="0"/>
        <w:numPr>
          <w:ilvl w:val="0"/>
          <w:numId w:val="24"/>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pravidelné předepsané periodické bezpečnostně-technické kontroly předmětu smlouvy dle zákona č. </w:t>
      </w:r>
      <w:r w:rsidR="00433818">
        <w:rPr>
          <w:rFonts w:ascii="Tahoma" w:hAnsi="Tahoma" w:cs="Tahoma"/>
          <w:sz w:val="20"/>
          <w:szCs w:val="20"/>
        </w:rPr>
        <w:t>375</w:t>
      </w:r>
      <w:r>
        <w:rPr>
          <w:rFonts w:ascii="Tahoma" w:hAnsi="Tahoma" w:cs="Tahoma"/>
          <w:sz w:val="20"/>
          <w:szCs w:val="20"/>
        </w:rPr>
        <w:t>/20</w:t>
      </w:r>
      <w:r w:rsidR="00433818">
        <w:rPr>
          <w:rFonts w:ascii="Tahoma" w:hAnsi="Tahoma" w:cs="Tahoma"/>
          <w:sz w:val="20"/>
          <w:szCs w:val="20"/>
        </w:rPr>
        <w:t xml:space="preserve">22 Sb. </w:t>
      </w:r>
      <w:r>
        <w:rPr>
          <w:rFonts w:ascii="Tahoma" w:hAnsi="Tahoma" w:cs="Tahoma"/>
          <w:sz w:val="20"/>
          <w:szCs w:val="20"/>
        </w:rPr>
        <w:t xml:space="preserve">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3"/>
    </w:p>
    <w:p w14:paraId="78CA7C1A" w14:textId="733968E9" w:rsidR="00402976" w:rsidRPr="00145B94" w:rsidRDefault="00402976" w:rsidP="00566577">
      <w:pPr>
        <w:numPr>
          <w:ilvl w:val="3"/>
          <w:numId w:val="3"/>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V případě neuznaného záručního i pozáručního servisu</w:t>
      </w:r>
      <w:r w:rsidR="00E7019A">
        <w:rPr>
          <w:rFonts w:ascii="Tahoma" w:hAnsi="Tahoma" w:cs="Tahoma"/>
          <w:sz w:val="20"/>
          <w:szCs w:val="18"/>
        </w:rPr>
        <w:t xml:space="preserve"> (např. mechanického poškození obsluhou)</w:t>
      </w:r>
      <w:r w:rsidRPr="00145B94">
        <w:rPr>
          <w:rFonts w:ascii="Tahoma" w:hAnsi="Tahoma" w:cs="Tahoma"/>
          <w:sz w:val="20"/>
          <w:szCs w:val="18"/>
        </w:rPr>
        <w:t xml:space="preserve"> je dodavatel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4" w:name="_Hlk81508441"/>
      <w:r w:rsidRPr="00633675">
        <w:rPr>
          <w:rFonts w:ascii="Tahoma" w:hAnsi="Tahoma" w:cs="Tahoma"/>
          <w:b/>
          <w:sz w:val="20"/>
          <w:szCs w:val="22"/>
        </w:rPr>
        <w:t>Práva z vadného plnění</w:t>
      </w:r>
    </w:p>
    <w:p w14:paraId="1E61DFFC" w14:textId="67626AB9" w:rsidR="002839BB" w:rsidRPr="00633675" w:rsidRDefault="0081341A" w:rsidP="00566577">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074A29C4" w:rsidR="002839BB" w:rsidRPr="00633675" w:rsidRDefault="001D18D9" w:rsidP="00566577">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w:t>
      </w:r>
      <w:r w:rsidR="004042DD">
        <w:rPr>
          <w:rFonts w:ascii="Tahoma" w:hAnsi="Tahoma" w:cs="Tahoma"/>
          <w:sz w:val="20"/>
          <w:szCs w:val="22"/>
        </w:rPr>
        <w:t xml:space="preserve">včetně provádění PBTK a servisních prohlídek podle odst. 5 písm. a) a c) tohoto článku, </w:t>
      </w:r>
      <w:r w:rsidR="002839BB" w:rsidRPr="00633675">
        <w:rPr>
          <w:rFonts w:ascii="Tahoma" w:hAnsi="Tahoma" w:cs="Tahoma"/>
          <w:sz w:val="20"/>
          <w:szCs w:val="22"/>
        </w:rPr>
        <w:t xml:space="preserve">budou prodávajícím </w:t>
      </w:r>
      <w:r w:rsidR="004042DD">
        <w:rPr>
          <w:rFonts w:ascii="Tahoma" w:hAnsi="Tahoma" w:cs="Tahoma"/>
          <w:sz w:val="20"/>
          <w:szCs w:val="22"/>
        </w:rPr>
        <w:t>prováděny</w:t>
      </w:r>
      <w:r w:rsidR="002839BB" w:rsidRPr="00633675">
        <w:rPr>
          <w:rFonts w:ascii="Tahoma" w:hAnsi="Tahoma" w:cs="Tahoma"/>
          <w:sz w:val="20"/>
          <w:szCs w:val="22"/>
        </w:rPr>
        <w:t xml:space="preserve"> bezplatně</w:t>
      </w:r>
      <w:r w:rsidR="004042DD">
        <w:rPr>
          <w:rFonts w:ascii="Tahoma" w:hAnsi="Tahoma" w:cs="Tahoma"/>
          <w:sz w:val="20"/>
          <w:szCs w:val="22"/>
        </w:rPr>
        <w:t xml:space="preserve"> v rámci kupní ceny dle čl. IV.</w:t>
      </w:r>
      <w:r w:rsidR="002839BB" w:rsidRPr="00633675">
        <w:rPr>
          <w:rFonts w:ascii="Tahoma" w:hAnsi="Tahoma" w:cs="Tahoma"/>
          <w:sz w:val="20"/>
          <w:szCs w:val="22"/>
        </w:rPr>
        <w:t xml:space="preserve"> </w:t>
      </w:r>
    </w:p>
    <w:p w14:paraId="791797DF" w14:textId="43BACBB9" w:rsidR="0098196B" w:rsidRPr="00633675" w:rsidRDefault="00066D69" w:rsidP="00566577">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192A4864" w14:textId="60CE94D9" w:rsidR="0023764F" w:rsidRPr="00633675" w:rsidRDefault="00C5262B" w:rsidP="00566577">
      <w:pPr>
        <w:pStyle w:val="Odstavecseseznamem"/>
        <w:numPr>
          <w:ilvl w:val="0"/>
          <w:numId w:val="21"/>
        </w:numPr>
        <w:tabs>
          <w:tab w:val="num" w:pos="1353"/>
        </w:tabs>
        <w:spacing w:after="120" w:line="360" w:lineRule="auto"/>
        <w:ind w:left="1134" w:hanging="425"/>
        <w:jc w:val="both"/>
        <w:rPr>
          <w:rFonts w:ascii="Tahoma" w:hAnsi="Tahoma" w:cs="Tahoma"/>
          <w:sz w:val="20"/>
          <w:szCs w:val="20"/>
        </w:rPr>
      </w:pPr>
      <w:r>
        <w:rPr>
          <w:rFonts w:ascii="Tahoma" w:hAnsi="Tahoma" w:cs="Tahoma"/>
          <w:sz w:val="20"/>
          <w:szCs w:val="20"/>
        </w:rPr>
        <w:t>telefon</w:t>
      </w:r>
      <w:r w:rsidR="0023764F" w:rsidRPr="00633675">
        <w:rPr>
          <w:rFonts w:ascii="Tahoma" w:hAnsi="Tahoma" w:cs="Tahoma"/>
          <w:sz w:val="20"/>
          <w:szCs w:val="20"/>
        </w:rPr>
        <w:t>:</w:t>
      </w:r>
      <w:r>
        <w:rPr>
          <w:rFonts w:ascii="Tahoma" w:hAnsi="Tahoma" w:cs="Tahoma"/>
          <w:sz w:val="20"/>
          <w:szCs w:val="20"/>
        </w:rPr>
        <w:tab/>
      </w:r>
      <w:r w:rsidR="004979E1">
        <w:rPr>
          <w:rFonts w:ascii="Tahoma" w:hAnsi="Tahoma" w:cs="Tahoma"/>
          <w:sz w:val="20"/>
          <w:szCs w:val="20"/>
        </w:rPr>
        <w:tab/>
      </w:r>
      <w:r w:rsidR="004979E1">
        <w:rPr>
          <w:rFonts w:ascii="Tahoma" w:hAnsi="Tahoma" w:cs="Tahoma"/>
          <w:sz w:val="20"/>
          <w:szCs w:val="20"/>
        </w:rPr>
        <w:tab/>
      </w:r>
      <w:r w:rsidR="0023764F"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0627D9E8" w14:textId="2417AAFF" w:rsidR="0023764F" w:rsidRPr="00633675" w:rsidRDefault="0023764F" w:rsidP="00566577">
      <w:pPr>
        <w:pStyle w:val="Odstavecseseznamem"/>
        <w:numPr>
          <w:ilvl w:val="0"/>
          <w:numId w:val="21"/>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41DF47E3" w14:textId="4F318FDB" w:rsidR="0023764F" w:rsidRPr="00633675" w:rsidRDefault="0023764F" w:rsidP="00566577">
      <w:pPr>
        <w:pStyle w:val="Odstavecseseznamem"/>
        <w:numPr>
          <w:ilvl w:val="0"/>
          <w:numId w:val="21"/>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adres</w:t>
      </w:r>
      <w:r w:rsidR="00ED39A6">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78B0284C" w14:textId="1E0F74F5" w:rsidR="001D1DEB" w:rsidRPr="00633675" w:rsidRDefault="007E64F1" w:rsidP="00566577">
      <w:pPr>
        <w:numPr>
          <w:ilvl w:val="3"/>
          <w:numId w:val="3"/>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566577">
      <w:pPr>
        <w:numPr>
          <w:ilvl w:val="3"/>
          <w:numId w:val="3"/>
        </w:numPr>
        <w:tabs>
          <w:tab w:val="num" w:pos="-7230"/>
        </w:tabs>
        <w:spacing w:after="120" w:line="276" w:lineRule="auto"/>
        <w:ind w:left="425" w:hanging="425"/>
        <w:jc w:val="both"/>
        <w:rPr>
          <w:rFonts w:ascii="Tahoma" w:hAnsi="Tahoma" w:cs="Tahoma"/>
          <w:sz w:val="20"/>
          <w:szCs w:val="22"/>
        </w:rPr>
      </w:pPr>
      <w:bookmarkStart w:id="15"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w:t>
      </w:r>
      <w:r w:rsidRPr="00AC0D11">
        <w:rPr>
          <w:rFonts w:ascii="Tahoma" w:hAnsi="Tahoma" w:cs="Tahoma"/>
          <w:sz w:val="20"/>
          <w:szCs w:val="22"/>
        </w:rPr>
        <w:lastRenderedPageBreak/>
        <w:t xml:space="preserve">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4"/>
    <w:bookmarkEnd w:id="15"/>
    <w:p w14:paraId="188AE95F" w14:textId="40DF8E18" w:rsidR="00453F1A" w:rsidRPr="00F04C78" w:rsidRDefault="00AC0D11" w:rsidP="00566577">
      <w:pPr>
        <w:numPr>
          <w:ilvl w:val="3"/>
          <w:numId w:val="3"/>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w:t>
      </w:r>
      <w:bookmarkStart w:id="16" w:name="_Hlk81510601"/>
      <w:r w:rsidR="00453F1A" w:rsidRPr="00F04C78">
        <w:rPr>
          <w:rFonts w:ascii="Tahoma" w:hAnsi="Tahoma" w:cs="Tahoma"/>
          <w:sz w:val="20"/>
          <w:szCs w:val="22"/>
        </w:rPr>
        <w:t xml:space="preserve"> </w:t>
      </w:r>
    </w:p>
    <w:bookmarkEnd w:id="16"/>
    <w:p w14:paraId="27F75D0D" w14:textId="1C4B50BA" w:rsidR="00AC0D11" w:rsidRPr="008A15AE" w:rsidRDefault="00AC0D11" w:rsidP="00566577">
      <w:pPr>
        <w:numPr>
          <w:ilvl w:val="3"/>
          <w:numId w:val="3"/>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566577">
      <w:pPr>
        <w:numPr>
          <w:ilvl w:val="3"/>
          <w:numId w:val="3"/>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Prodávající je povinen uhradit kupujícímu škodu, která mu vznikla vadným plněním, a to v plné výši. Prodávající rovněž kupujícímu uhradí náklady vzniklé při uplatňování práv z vadného plnění.</w:t>
      </w:r>
    </w:p>
    <w:p w14:paraId="05B70679" w14:textId="60AFA5ED" w:rsidR="00AC0D11" w:rsidRPr="008A15AE" w:rsidRDefault="00AC0D11" w:rsidP="00566577">
      <w:pPr>
        <w:numPr>
          <w:ilvl w:val="3"/>
          <w:numId w:val="3"/>
        </w:numPr>
        <w:tabs>
          <w:tab w:val="num" w:pos="-7230"/>
        </w:tabs>
        <w:spacing w:after="120" w:line="276" w:lineRule="auto"/>
        <w:ind w:left="425" w:hanging="425"/>
        <w:jc w:val="both"/>
        <w:rPr>
          <w:rFonts w:ascii="Tahoma" w:hAnsi="Tahoma" w:cs="Tahoma"/>
          <w:sz w:val="20"/>
          <w:szCs w:val="20"/>
        </w:rPr>
      </w:pPr>
      <w:bookmarkStart w:id="17" w:name="_Hlk81510290"/>
      <w:r w:rsidRPr="008A15AE">
        <w:rPr>
          <w:rFonts w:ascii="Tahoma" w:hAnsi="Tahoma" w:cs="Tahoma"/>
          <w:sz w:val="20"/>
          <w:szCs w:val="20"/>
        </w:rPr>
        <w:t xml:space="preserve">Prodávající neodpovídá za vady, které byly způsobeny nesprávným užíváním </w:t>
      </w:r>
      <w:r w:rsidR="00E7019A">
        <w:rPr>
          <w:rFonts w:ascii="Tahoma" w:hAnsi="Tahoma" w:cs="Tahoma"/>
          <w:sz w:val="20"/>
          <w:szCs w:val="20"/>
        </w:rPr>
        <w:t>kupujícího</w:t>
      </w:r>
      <w:r w:rsidRPr="008A15AE">
        <w:rPr>
          <w:rFonts w:ascii="Tahoma" w:hAnsi="Tahoma" w:cs="Tahoma"/>
          <w:sz w:val="20"/>
          <w:szCs w:val="20"/>
        </w:rPr>
        <w:t xml:space="preserve"> nebo třetí osobou.</w:t>
      </w:r>
    </w:p>
    <w:p w14:paraId="597FF27F" w14:textId="52DB60DE" w:rsidR="00AC0D11" w:rsidRPr="008A15AE" w:rsidRDefault="00AC0D11" w:rsidP="00566577">
      <w:pPr>
        <w:numPr>
          <w:ilvl w:val="3"/>
          <w:numId w:val="3"/>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C86E83A" w14:textId="102CA118" w:rsidR="00AC0D11" w:rsidRDefault="00AC0D11" w:rsidP="00566577">
      <w:pPr>
        <w:pStyle w:val="Odstavecseseznamem"/>
        <w:numPr>
          <w:ilvl w:val="3"/>
          <w:numId w:val="3"/>
        </w:numPr>
        <w:tabs>
          <w:tab w:val="clear" w:pos="1353"/>
        </w:tabs>
        <w:spacing w:before="120" w:line="276" w:lineRule="auto"/>
        <w:ind w:left="425" w:hanging="425"/>
        <w:jc w:val="both"/>
        <w:rPr>
          <w:rFonts w:ascii="Tahoma" w:hAnsi="Tahoma" w:cs="Tahoma"/>
          <w:sz w:val="20"/>
          <w:szCs w:val="20"/>
        </w:rPr>
      </w:pPr>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během záruční doby projeví třikrát jakákoli vada, která by jinak zakládala pouze práva z odpovědnosti za vady podle § 2107 občanského zákoníku, má kupující práva jako při podstatném porušení smlouvy ve smyslu § 2106 občanského zákoníku.</w:t>
      </w:r>
    </w:p>
    <w:p w14:paraId="1B2CD017" w14:textId="62583D16" w:rsidR="00E7019A" w:rsidRPr="008A15AE" w:rsidRDefault="00E7019A" w:rsidP="00566577">
      <w:pPr>
        <w:pStyle w:val="Odstavecseseznamem"/>
        <w:numPr>
          <w:ilvl w:val="3"/>
          <w:numId w:val="3"/>
        </w:numPr>
        <w:tabs>
          <w:tab w:val="clear" w:pos="1353"/>
        </w:tabs>
        <w:spacing w:before="120" w:line="276" w:lineRule="auto"/>
        <w:ind w:left="425" w:hanging="425"/>
        <w:jc w:val="both"/>
        <w:rPr>
          <w:rFonts w:ascii="Tahoma" w:hAnsi="Tahoma" w:cs="Tahoma"/>
          <w:sz w:val="20"/>
          <w:szCs w:val="20"/>
        </w:rPr>
      </w:pPr>
      <w:r w:rsidRPr="00E7019A">
        <w:rPr>
          <w:rFonts w:ascii="Tahoma" w:hAnsi="Tahoma" w:cs="Tahoma"/>
          <w:sz w:val="20"/>
          <w:szCs w:val="20"/>
        </w:rPr>
        <w:t>Přesáhne-li doba opravy vady 6 pracovních dnů od nahlášení, je prodávající povinen nejpozději 7. pracovní den bezplatně zapůjčit kupujícímu náhradní přístroj se stejnými nebo vyššími technickými parametry, a to až do úplného odstranění vady</w:t>
      </w:r>
      <w:r>
        <w:rPr>
          <w:rFonts w:ascii="Tahoma" w:hAnsi="Tahoma" w:cs="Tahoma"/>
          <w:sz w:val="20"/>
          <w:szCs w:val="20"/>
        </w:rPr>
        <w:t>.</w:t>
      </w:r>
    </w:p>
    <w:bookmarkEnd w:id="17"/>
    <w:p w14:paraId="6ACF7F1A" w14:textId="77777777" w:rsidR="00A612B8" w:rsidRDefault="00A612B8" w:rsidP="00C87657">
      <w:pPr>
        <w:tabs>
          <w:tab w:val="left" w:pos="0"/>
        </w:tabs>
        <w:spacing w:after="120" w:line="276" w:lineRule="auto"/>
        <w:ind w:left="425" w:hanging="425"/>
        <w:jc w:val="center"/>
        <w:rPr>
          <w:rFonts w:ascii="Tahoma" w:hAnsi="Tahoma" w:cs="Tahoma"/>
          <w:b/>
          <w:sz w:val="20"/>
          <w:szCs w:val="22"/>
        </w:rPr>
      </w:pP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60CAC1BD" w:rsidR="000D694E" w:rsidRPr="00633675" w:rsidRDefault="0018468B" w:rsidP="00566577">
      <w:pPr>
        <w:pStyle w:val="Import16"/>
        <w:numPr>
          <w:ilvl w:val="0"/>
          <w:numId w:val="4"/>
        </w:numPr>
        <w:tabs>
          <w:tab w:val="clear" w:pos="360"/>
          <w:tab w:val="clear" w:pos="864"/>
          <w:tab w:val="num" w:pos="0"/>
        </w:tabs>
        <w:spacing w:after="120" w:line="276" w:lineRule="auto"/>
        <w:ind w:left="425" w:hanging="425"/>
        <w:jc w:val="both"/>
        <w:rPr>
          <w:rFonts w:ascii="Tahoma" w:hAnsi="Tahoma" w:cs="Tahoma"/>
          <w:sz w:val="20"/>
          <w:szCs w:val="22"/>
        </w:rPr>
      </w:pPr>
      <w:bookmarkStart w:id="18"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E7019A">
        <w:rPr>
          <w:rFonts w:ascii="Tahoma" w:hAnsi="Tahoma" w:cs="Tahoma"/>
          <w:b/>
          <w:sz w:val="20"/>
          <w:szCs w:val="22"/>
        </w:rPr>
        <w:t>1</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4489A054" w:rsidR="00F82BEA" w:rsidRPr="004235DC" w:rsidRDefault="00511AD2" w:rsidP="00566577">
      <w:pPr>
        <w:pStyle w:val="Import16"/>
        <w:numPr>
          <w:ilvl w:val="0"/>
          <w:numId w:val="4"/>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w:t>
      </w:r>
      <w:r w:rsidR="00E7019A">
        <w:rPr>
          <w:rFonts w:ascii="Tahoma" w:hAnsi="Tahoma" w:cs="Tahoma"/>
          <w:b/>
          <w:iCs/>
          <w:sz w:val="20"/>
          <w:szCs w:val="22"/>
        </w:rPr>
        <w:t>,1</w:t>
      </w:r>
      <w:r w:rsidRPr="004235DC">
        <w:rPr>
          <w:rFonts w:ascii="Tahoma" w:hAnsi="Tahoma" w:cs="Tahoma"/>
          <w:b/>
          <w:iCs/>
          <w:sz w:val="20"/>
          <w:szCs w:val="22"/>
        </w:rPr>
        <w:t xml:space="preserve">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566577">
      <w:pPr>
        <w:pStyle w:val="OdstavecSmlouvy"/>
        <w:numPr>
          <w:ilvl w:val="0"/>
          <w:numId w:val="4"/>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566577">
      <w:pPr>
        <w:pStyle w:val="Import16"/>
        <w:numPr>
          <w:ilvl w:val="0"/>
          <w:numId w:val="4"/>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8"/>
    <w:p w14:paraId="2FE5AA89" w14:textId="77777777" w:rsidR="00475517" w:rsidRPr="00475517" w:rsidRDefault="00475517" w:rsidP="00566577">
      <w:pPr>
        <w:pStyle w:val="Import16"/>
        <w:numPr>
          <w:ilvl w:val="0"/>
          <w:numId w:val="4"/>
        </w:numPr>
        <w:tabs>
          <w:tab w:val="left" w:pos="708"/>
        </w:tabs>
        <w:spacing w:after="120" w:line="276" w:lineRule="auto"/>
        <w:jc w:val="both"/>
        <w:rPr>
          <w:rFonts w:ascii="Tahoma" w:hAnsi="Tahoma" w:cs="Tahoma"/>
          <w:sz w:val="20"/>
          <w:szCs w:val="22"/>
        </w:rPr>
      </w:pPr>
      <w:r w:rsidRPr="00475517">
        <w:rPr>
          <w:rFonts w:ascii="Tahoma" w:hAnsi="Tahoma" w:cs="Tahoma"/>
          <w:sz w:val="20"/>
          <w:szCs w:val="22"/>
        </w:rPr>
        <w:t>Pokud prodávající nezajistí kontrolu BTK dle objednávky ze strany kupujícího v limitu k určenému datu, přebírá na sebe povinnost uhradit pokutu při kontrole kupujícího od orgánů SÚKL.</w:t>
      </w:r>
    </w:p>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4F38B1" w:rsidRDefault="001F2AC2" w:rsidP="00566577">
      <w:pPr>
        <w:pStyle w:val="Smlouva-slo"/>
        <w:numPr>
          <w:ilvl w:val="0"/>
          <w:numId w:val="26"/>
        </w:numPr>
        <w:spacing w:line="276" w:lineRule="auto"/>
        <w:ind w:left="357" w:hanging="357"/>
        <w:rPr>
          <w:rFonts w:ascii="Tahoma" w:eastAsia="Tahoma" w:hAnsi="Tahoma" w:cs="Tahoma"/>
          <w:sz w:val="20"/>
        </w:rPr>
      </w:pPr>
      <w:r w:rsidRPr="004F38B1">
        <w:rPr>
          <w:rFonts w:ascii="Tahoma" w:hAnsi="Tahoma" w:cs="Tahoma"/>
          <w:sz w:val="20"/>
        </w:rPr>
        <w:t xml:space="preserve">Prodávající odpovídá za to, že platby poskytované kupujícím dle této smlouvy nebudou přímo nebo </w:t>
      </w:r>
      <w:r w:rsidRPr="004F38B1">
        <w:rPr>
          <w:rFonts w:ascii="Tahoma" w:hAnsi="Tahoma" w:cs="Tahoma"/>
          <w:sz w:val="20"/>
        </w:rPr>
        <w:lastRenderedPageBreak/>
        <w:t>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BFD13A3" w14:textId="77777777" w:rsidR="001F2AC2" w:rsidRPr="004F38B1" w:rsidRDefault="001F2AC2" w:rsidP="00566577">
      <w:pPr>
        <w:pStyle w:val="Smlouva-slo"/>
        <w:numPr>
          <w:ilvl w:val="0"/>
          <w:numId w:val="26"/>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566577">
      <w:pPr>
        <w:pStyle w:val="Smlouva-slo"/>
        <w:numPr>
          <w:ilvl w:val="0"/>
          <w:numId w:val="26"/>
        </w:numPr>
        <w:spacing w:line="276" w:lineRule="auto"/>
        <w:ind w:left="357" w:hanging="357"/>
        <w:rPr>
          <w:rFonts w:ascii="Tahoma" w:eastAsia="Tahoma" w:hAnsi="Tahoma" w:cs="Tahoma"/>
          <w:sz w:val="20"/>
        </w:rPr>
      </w:pPr>
      <w:r w:rsidRPr="004F38B1">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604B84E6" w14:textId="40C36619" w:rsidR="001F2AC2" w:rsidRPr="00753166" w:rsidRDefault="001F2AC2" w:rsidP="00566577">
      <w:pPr>
        <w:pStyle w:val="Smlouva-slo"/>
        <w:numPr>
          <w:ilvl w:val="0"/>
          <w:numId w:val="26"/>
        </w:numPr>
        <w:spacing w:line="276" w:lineRule="auto"/>
        <w:ind w:left="357" w:hanging="357"/>
        <w:rPr>
          <w:rFonts w:ascii="Tahoma" w:eastAsia="Tahoma" w:hAnsi="Tahoma" w:cs="Tahoma"/>
          <w:sz w:val="20"/>
        </w:rPr>
      </w:pPr>
      <w:r w:rsidRPr="004F38B1">
        <w:rPr>
          <w:rFonts w:ascii="Tahoma" w:hAnsi="Tahoma" w:cs="Tahoma"/>
          <w:sz w:val="20"/>
        </w:rPr>
        <w:t>Dojde-li k porušení pravidel dle odst. 1</w:t>
      </w:r>
      <w:r w:rsidR="00C93444">
        <w:rPr>
          <w:rFonts w:ascii="Tahoma" w:hAnsi="Tahoma" w:cs="Tahoma"/>
          <w:sz w:val="20"/>
        </w:rPr>
        <w:t xml:space="preserve"> tohoto článku</w:t>
      </w:r>
      <w:r w:rsidRPr="004F38B1">
        <w:rPr>
          <w:rFonts w:ascii="Tahoma" w:hAnsi="Tahoma" w:cs="Tahoma"/>
          <w:sz w:val="20"/>
        </w:rPr>
        <w:t xml:space="preserve"> smlouvy, je prodávající povinen zaplatit kupujícímu smluvní pokutu ve výši </w:t>
      </w:r>
      <w:r w:rsidR="00C93444">
        <w:rPr>
          <w:rFonts w:ascii="Tahoma" w:hAnsi="Tahoma" w:cs="Tahoma"/>
          <w:sz w:val="20"/>
        </w:rPr>
        <w:t>10</w:t>
      </w:r>
      <w:r w:rsidRPr="004F38B1">
        <w:rPr>
          <w:rFonts w:ascii="Tahoma" w:hAnsi="Tahoma" w:cs="Tahoma"/>
          <w:sz w:val="20"/>
        </w:rPr>
        <w:t>0.000 Kč, a to za každý jednotlivý případ porušení.</w:t>
      </w:r>
    </w:p>
    <w:p w14:paraId="083D8975" w14:textId="77777777" w:rsidR="00753166" w:rsidRPr="004F38B1" w:rsidRDefault="00753166" w:rsidP="00753166">
      <w:pPr>
        <w:pStyle w:val="Smlouva-slo"/>
        <w:spacing w:line="276" w:lineRule="auto"/>
        <w:ind w:left="357"/>
        <w:rPr>
          <w:rFonts w:ascii="Tahoma" w:eastAsia="Tahoma" w:hAnsi="Tahoma" w:cs="Tahoma"/>
          <w:sz w:val="20"/>
        </w:rPr>
      </w:pPr>
    </w:p>
    <w:p w14:paraId="10E00027" w14:textId="77777777"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753166">
        <w:rPr>
          <w:rFonts w:ascii="Tahoma" w:hAnsi="Tahoma" w:cs="Tahoma"/>
          <w:b/>
          <w:sz w:val="20"/>
          <w:szCs w:val="22"/>
        </w:rPr>
        <w:t>XIII.</w:t>
      </w:r>
    </w:p>
    <w:p w14:paraId="7C729BC0" w14:textId="1B402E51" w:rsidR="00753166" w:rsidRPr="00145B94" w:rsidRDefault="00753166" w:rsidP="00753166">
      <w:pPr>
        <w:pStyle w:val="Nadpis4"/>
        <w:spacing w:before="0" w:line="276" w:lineRule="auto"/>
        <w:ind w:left="720" w:hanging="720"/>
        <w:rPr>
          <w:rFonts w:ascii="Tahoma" w:hAnsi="Tahoma" w:cs="Tahoma"/>
          <w:b w:val="0"/>
          <w:sz w:val="20"/>
          <w:szCs w:val="22"/>
        </w:rPr>
      </w:pPr>
      <w:r w:rsidRPr="008403EA">
        <w:rPr>
          <w:rFonts w:ascii="Tahoma" w:hAnsi="Tahoma" w:cs="Tahoma"/>
          <w:caps w:val="0"/>
          <w:sz w:val="20"/>
          <w:szCs w:val="22"/>
        </w:rPr>
        <w:t>Ustanovení o kybernetické bezpečnosti</w:t>
      </w:r>
    </w:p>
    <w:p w14:paraId="5DB115D3" w14:textId="0A8B317D" w:rsidR="001532CE" w:rsidRDefault="001532CE" w:rsidP="00234614">
      <w:pPr>
        <w:pStyle w:val="lnek-slovantext"/>
        <w:numPr>
          <w:ilvl w:val="0"/>
          <w:numId w:val="31"/>
        </w:numPr>
        <w:tabs>
          <w:tab w:val="clear" w:pos="502"/>
        </w:tabs>
        <w:spacing w:before="0" w:after="80" w:line="276" w:lineRule="auto"/>
        <w:ind w:left="284" w:hanging="284"/>
        <w:jc w:val="both"/>
        <w:rPr>
          <w:rFonts w:ascii="Tahoma" w:hAnsi="Tahoma" w:cs="Tahoma"/>
          <w:sz w:val="20"/>
          <w:szCs w:val="20"/>
        </w:rPr>
      </w:pPr>
      <w:r w:rsidRPr="00C66DA4">
        <w:rPr>
          <w:rFonts w:ascii="Tahoma" w:hAnsi="Tahoma" w:cs="Tahoma"/>
          <w:sz w:val="20"/>
          <w:szCs w:val="20"/>
        </w:rPr>
        <w:t>Poskytovatel bere na vědomí, že Objednatel z hlediska ohlášení regulované služby provedeného Objednatelem vyplývá, že jsou splněny podmínky pro registraci, neboť ohlášené služby jsou z odvětví uvedených v § 4 písm. a) zákona o kybernetické bezpečnosti a jsou uvedeny v příloze vyhlášky č. 408/2025 Sb., o regulovaných službách (dále jen „vyhláška o regulovaných službách”). Současně Objednatel splňuje podmínku významnosti poskytovatele podle § 4 odst. 1 písm. b) zákona o kybernetické bezpečnosti uvedené v příloze č. 1 vyhlášky o regulovaných službách. Režim povinností Objednatele jakožto poskytovatele regulované služby vyplývá přímo z ustanovení § 8 odst. 1 zákona o kybernetické bezpečnosti a přílohy č. 1 vyhlášky o regulovaných službách.</w:t>
      </w:r>
    </w:p>
    <w:p w14:paraId="6D9F1B96" w14:textId="77777777" w:rsidR="001532CE" w:rsidRDefault="001532CE" w:rsidP="00234614">
      <w:pPr>
        <w:pStyle w:val="lnek-slovantext"/>
        <w:numPr>
          <w:ilvl w:val="0"/>
          <w:numId w:val="30"/>
        </w:numPr>
        <w:tabs>
          <w:tab w:val="clear" w:pos="502"/>
        </w:tabs>
        <w:spacing w:after="80" w:line="276" w:lineRule="auto"/>
        <w:ind w:left="284" w:hanging="284"/>
        <w:jc w:val="both"/>
        <w:rPr>
          <w:rFonts w:ascii="Tahoma" w:hAnsi="Tahoma" w:cs="Tahoma"/>
          <w:sz w:val="20"/>
          <w:szCs w:val="20"/>
        </w:rPr>
      </w:pPr>
      <w:r>
        <w:rPr>
          <w:rFonts w:ascii="Tahoma" w:hAnsi="Tahoma" w:cs="Tahoma"/>
          <w:sz w:val="20"/>
          <w:szCs w:val="20"/>
        </w:rPr>
        <w:t xml:space="preserve">Bude-li součástí plnění díla Prodávajícím dodávka techniky připojené do interní datové sítě Kupujícího, nebo pokud bude vyžadovat Prodávající přístup k dodávané technice přes datovou síť Kupujícího, přihlášení Prodávajícího do sítě Kupujícího musí podléhat kontrole přístupu na základě autorizace po předchozí autentizaci. Prodávající se zavazuje, že před připojením koncového zařízení nebo aktivního síťového prvku do datové sítě zažádá o schválení připojení kontaktní osobu na straně Kupujícího. Prodávající se zavazuje, že vzdálený přístup do systému bude vždy uskutečněn pouze prostřednictvím zabezpečeného připojení VPN (virtuální privátní síť). Prodávající se zavazuje, že udělený VPN přístup nesmí být sdílen více zaměstnanci Prodávajícího nebo </w:t>
      </w:r>
      <w:proofErr w:type="spellStart"/>
      <w:r>
        <w:rPr>
          <w:rFonts w:ascii="Tahoma" w:hAnsi="Tahoma" w:cs="Tahoma"/>
          <w:sz w:val="20"/>
          <w:szCs w:val="20"/>
        </w:rPr>
        <w:t>podprodávajícího</w:t>
      </w:r>
      <w:proofErr w:type="spellEnd"/>
      <w:r>
        <w:rPr>
          <w:rFonts w:ascii="Tahoma" w:hAnsi="Tahoma" w:cs="Tahoma"/>
          <w:sz w:val="20"/>
          <w:szCs w:val="20"/>
        </w:rPr>
        <w:t xml:space="preserve">.  Pravidla VPN přístupu budou řešena samostatnou smlouvou, která musí být uzavřena před udělením VPN přístupu Prodávajícímu. Prodávající se zavazuje, že všechna zařízení připojená do datové sítě Kupujícího, budou disponovat aktualizovaným výrobcem podporovaným operačním systémem, aktualizovaným antivirovým programem s nejnovějšími signaturami, a pokud to bude možné, budou připojena do domény Kupujícího, která na zařízeních prosadí bezpečnostní politiku Kupujícího. Prodávající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Kupujícího. Pokud nebude možné dodržet výše uvedená pravidla, může Kupující ve výjimečném případě dle požadavku Prodávajícího zřídit VPN přístup k síťovému zařízení, které bude na vyhrazené datové síti striktně oddělené od interní sítě Kupujícího. Prodávající se zavazuje, že bez zbytečného odkladu deaktivuje všechna nevyužívaná </w:t>
      </w:r>
      <w:r>
        <w:rPr>
          <w:rFonts w:ascii="Tahoma" w:hAnsi="Tahoma" w:cs="Tahoma"/>
          <w:sz w:val="20"/>
          <w:szCs w:val="20"/>
        </w:rPr>
        <w:lastRenderedPageBreak/>
        <w:t>zakončení sítě anebo nepoužívané porty aktivního síťového prvku. Prodávající se zavazuje, že bude dodržovat a nebude konat v rozporu s bezpečnostními politikami kupujícího. Bezpečnostní politika Kupujícího bude předložena na žádost Prodávajícího.</w:t>
      </w:r>
    </w:p>
    <w:p w14:paraId="0BF244D4" w14:textId="77777777" w:rsidR="001532CE" w:rsidRDefault="001532CE" w:rsidP="00234614">
      <w:pPr>
        <w:pStyle w:val="lnek-slovantext"/>
        <w:numPr>
          <w:ilvl w:val="0"/>
          <w:numId w:val="30"/>
        </w:numPr>
        <w:tabs>
          <w:tab w:val="clear" w:pos="502"/>
        </w:tabs>
        <w:spacing w:after="80" w:line="276" w:lineRule="auto"/>
        <w:ind w:left="284" w:hanging="284"/>
        <w:jc w:val="both"/>
        <w:rPr>
          <w:rFonts w:ascii="Tahoma" w:hAnsi="Tahoma" w:cs="Tahoma"/>
          <w:sz w:val="20"/>
          <w:szCs w:val="20"/>
        </w:rPr>
      </w:pPr>
      <w:r>
        <w:rPr>
          <w:rFonts w:ascii="Tahoma" w:hAnsi="Tahoma" w:cs="Tahoma"/>
          <w:sz w:val="20"/>
          <w:szCs w:val="20"/>
        </w:rPr>
        <w:t>Kupující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Prodávající se zavazuje poskytnout kupujícímu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Prodávající kupujícímu veškerou potřebnou součinnost. Prodávající je povinen přijmout dodatečná, účinná nápravná opatření k odstranění zranitelností.</w:t>
      </w:r>
    </w:p>
    <w:p w14:paraId="68472BE4" w14:textId="77777777" w:rsidR="001532CE" w:rsidRDefault="001532CE" w:rsidP="00234614">
      <w:pPr>
        <w:pStyle w:val="lnek-slovantext"/>
        <w:numPr>
          <w:ilvl w:val="0"/>
          <w:numId w:val="30"/>
        </w:numPr>
        <w:tabs>
          <w:tab w:val="clear" w:pos="502"/>
        </w:tabs>
        <w:spacing w:after="80" w:line="276" w:lineRule="auto"/>
        <w:ind w:left="284" w:hanging="284"/>
        <w:jc w:val="both"/>
        <w:rPr>
          <w:rFonts w:ascii="Tahoma" w:hAnsi="Tahoma" w:cs="Tahoma"/>
          <w:sz w:val="20"/>
          <w:szCs w:val="20"/>
        </w:rPr>
      </w:pPr>
      <w:r>
        <w:rPr>
          <w:rFonts w:ascii="Tahoma" w:hAnsi="Tahoma" w:cs="Tahoma"/>
          <w:sz w:val="20"/>
          <w:szCs w:val="20"/>
        </w:rPr>
        <w:t>Prodávající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normám České republiky. Služby musí odpovídat příslušným právním předpisům, normám nebo jiné dokumentaci vztahující se k jejich poskytování. </w:t>
      </w:r>
    </w:p>
    <w:p w14:paraId="0D6BB07C" w14:textId="77777777" w:rsidR="001532CE" w:rsidRDefault="001532CE" w:rsidP="00234614">
      <w:pPr>
        <w:pStyle w:val="lnek-slovantext"/>
        <w:numPr>
          <w:ilvl w:val="0"/>
          <w:numId w:val="30"/>
        </w:numPr>
        <w:tabs>
          <w:tab w:val="clear" w:pos="502"/>
        </w:tabs>
        <w:spacing w:after="80" w:line="276" w:lineRule="auto"/>
        <w:ind w:left="284" w:hanging="284"/>
        <w:jc w:val="both"/>
        <w:rPr>
          <w:rFonts w:ascii="Tahoma" w:hAnsi="Tahoma" w:cs="Tahoma"/>
          <w:sz w:val="20"/>
          <w:szCs w:val="20"/>
        </w:rPr>
      </w:pPr>
      <w:r>
        <w:rPr>
          <w:rFonts w:ascii="Tahoma" w:hAnsi="Tahoma" w:cs="Tahoma"/>
          <w:sz w:val="20"/>
          <w:szCs w:val="20"/>
        </w:rPr>
        <w:t xml:space="preserve">Povinnost ochrany neveřejných a chráněných informací trvá bez ohledu na ukončení účinnosti plnění dle smlouvy. V případě jakéhokoliv ukončení smlouvy se Prodávající zavazuje splnit tyto povinnosti: </w:t>
      </w:r>
    </w:p>
    <w:p w14:paraId="775E32AD" w14:textId="77777777" w:rsidR="001532CE" w:rsidRDefault="001532CE" w:rsidP="00234614">
      <w:pPr>
        <w:pStyle w:val="lnek-slovantext"/>
        <w:numPr>
          <w:ilvl w:val="0"/>
          <w:numId w:val="0"/>
        </w:numPr>
        <w:spacing w:after="80" w:line="276" w:lineRule="auto"/>
        <w:ind w:left="567" w:hanging="283"/>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poskytnutí požadovaných součinností v souvislosti s předáním podpory a poskytování služeb novému prodávajícímu nebo kupujícímu, a to v souladu s exit plánem vytvořeným v rámci prováděcího (implementačního) projektu, </w:t>
      </w:r>
    </w:p>
    <w:p w14:paraId="73CB0870" w14:textId="77777777" w:rsidR="001532CE" w:rsidRDefault="001532CE" w:rsidP="00234614">
      <w:pPr>
        <w:pStyle w:val="lnek-slovantext"/>
        <w:numPr>
          <w:ilvl w:val="0"/>
          <w:numId w:val="0"/>
        </w:numPr>
        <w:spacing w:line="276" w:lineRule="auto"/>
        <w:ind w:left="567" w:hanging="283"/>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poskytnutí informací nezbytných k převzetí systému novým prodávajícím nebo kupujícím, </w:t>
      </w:r>
    </w:p>
    <w:p w14:paraId="4F0F989D" w14:textId="77777777" w:rsidR="001532CE" w:rsidRDefault="001532CE" w:rsidP="00234614">
      <w:pPr>
        <w:pStyle w:val="lnek-slovantext"/>
        <w:numPr>
          <w:ilvl w:val="0"/>
          <w:numId w:val="0"/>
        </w:numPr>
        <w:spacing w:line="276" w:lineRule="auto"/>
        <w:ind w:left="567" w:hanging="283"/>
        <w:jc w:val="both"/>
        <w:rPr>
          <w:rFonts w:ascii="Tahoma" w:hAnsi="Tahoma" w:cs="Tahoma"/>
          <w:sz w:val="20"/>
          <w:szCs w:val="20"/>
        </w:rPr>
      </w:pPr>
      <w:r>
        <w:rPr>
          <w:rFonts w:ascii="Tahoma" w:hAnsi="Tahoma" w:cs="Tahoma"/>
          <w:sz w:val="20"/>
          <w:szCs w:val="20"/>
        </w:rPr>
        <w:t>•</w:t>
      </w:r>
      <w:r>
        <w:rPr>
          <w:rFonts w:ascii="Tahoma" w:hAnsi="Tahoma" w:cs="Tahoma"/>
          <w:sz w:val="20"/>
          <w:szCs w:val="20"/>
        </w:rPr>
        <w:tab/>
        <w:t>poskytnutí veškeré relevantní dokumentace v aktuálním stavu, která byla vytvořena v rámci plnění předmětu smlouvy.</w:t>
      </w:r>
    </w:p>
    <w:p w14:paraId="245E967A" w14:textId="77777777" w:rsidR="001532CE" w:rsidRDefault="001532CE" w:rsidP="00234614">
      <w:pPr>
        <w:pStyle w:val="lnek-slovantext"/>
        <w:numPr>
          <w:ilvl w:val="0"/>
          <w:numId w:val="30"/>
        </w:numPr>
        <w:tabs>
          <w:tab w:val="clear" w:pos="502"/>
        </w:tabs>
        <w:spacing w:line="276" w:lineRule="auto"/>
        <w:ind w:left="284" w:hanging="284"/>
        <w:jc w:val="both"/>
        <w:rPr>
          <w:rFonts w:ascii="Tahoma" w:hAnsi="Tahoma" w:cs="Tahoma"/>
          <w:sz w:val="20"/>
          <w:szCs w:val="20"/>
        </w:rPr>
      </w:pPr>
      <w:r>
        <w:rPr>
          <w:rFonts w:ascii="Tahoma" w:hAnsi="Tahoma" w:cs="Tahoma"/>
          <w:sz w:val="20"/>
          <w:szCs w:val="20"/>
        </w:rPr>
        <w:t>Prodávající se zavazuje, že veškerý přenos dat a informací musí být dostatečně zabezpečen pomoci aktuálně odolných kryptografických algoritmů a kryptografických klíčů.</w:t>
      </w:r>
    </w:p>
    <w:p w14:paraId="5BBF9F2F" w14:textId="77777777" w:rsidR="001532CE" w:rsidRDefault="001532CE" w:rsidP="00234614">
      <w:pPr>
        <w:pStyle w:val="lnek-slovantext"/>
        <w:numPr>
          <w:ilvl w:val="0"/>
          <w:numId w:val="30"/>
        </w:numPr>
        <w:tabs>
          <w:tab w:val="clear" w:pos="502"/>
        </w:tabs>
        <w:spacing w:line="276" w:lineRule="auto"/>
        <w:ind w:left="284" w:hanging="284"/>
        <w:jc w:val="both"/>
        <w:rPr>
          <w:rFonts w:ascii="Tahoma" w:hAnsi="Tahoma" w:cs="Tahoma"/>
          <w:sz w:val="20"/>
          <w:szCs w:val="20"/>
        </w:rPr>
      </w:pPr>
      <w:r>
        <w:rPr>
          <w:rFonts w:ascii="Tahoma" w:hAnsi="Tahoma" w:cs="Tahoma"/>
          <w:sz w:val="20"/>
          <w:szCs w:val="20"/>
        </w:rPr>
        <w:t>Prodávající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 4 vyhlášky o kybernetické bezpečnosti. O likvidaci dat bude proveden záznam.</w:t>
      </w:r>
    </w:p>
    <w:p w14:paraId="614AB83F" w14:textId="77777777" w:rsidR="001532CE" w:rsidRDefault="001532CE" w:rsidP="00234614">
      <w:pPr>
        <w:pStyle w:val="lnek-slovantext"/>
        <w:numPr>
          <w:ilvl w:val="0"/>
          <w:numId w:val="30"/>
        </w:numPr>
        <w:tabs>
          <w:tab w:val="clear" w:pos="502"/>
        </w:tabs>
        <w:spacing w:line="276" w:lineRule="auto"/>
        <w:ind w:left="284" w:hanging="284"/>
        <w:jc w:val="both"/>
        <w:rPr>
          <w:rFonts w:ascii="Tahoma" w:hAnsi="Tahoma" w:cs="Tahoma"/>
          <w:sz w:val="20"/>
          <w:szCs w:val="20"/>
        </w:rPr>
      </w:pPr>
      <w:r>
        <w:rPr>
          <w:rFonts w:ascii="Tahoma" w:hAnsi="Tahoma" w:cs="Tahoma"/>
          <w:sz w:val="20"/>
          <w:szCs w:val="20"/>
        </w:rPr>
        <w:t>Kupující je dále oprávněn od smlouvy odstoupit v případech, že dojde k významné změně kontroly nad Prodávajícím nebo změně kontroly nad zásadními aktivy využívanými Prodávajícím k plnění dle této smlouvy ve smyslu písm. n) přílohy č. 7 vyhlášky o kybernetické bezpečnosti.</w:t>
      </w:r>
    </w:p>
    <w:p w14:paraId="354BF7CA" w14:textId="77777777" w:rsidR="00A612B8" w:rsidRDefault="00A612B8" w:rsidP="00C4051A">
      <w:pPr>
        <w:pStyle w:val="Import16"/>
        <w:tabs>
          <w:tab w:val="clear" w:pos="864"/>
        </w:tabs>
        <w:spacing w:after="120" w:line="276" w:lineRule="auto"/>
        <w:ind w:left="425" w:firstLine="0"/>
        <w:jc w:val="both"/>
        <w:rPr>
          <w:rFonts w:ascii="Tahoma" w:hAnsi="Tahoma" w:cs="Tahoma"/>
          <w:sz w:val="20"/>
          <w:szCs w:val="22"/>
        </w:rPr>
      </w:pPr>
    </w:p>
    <w:p w14:paraId="0CC558F4" w14:textId="2AE6114F"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w:t>
      </w:r>
      <w:r w:rsidR="00C5262B">
        <w:rPr>
          <w:rFonts w:ascii="Tahoma" w:hAnsi="Tahoma" w:cs="Tahoma"/>
          <w:b/>
          <w:sz w:val="20"/>
          <w:szCs w:val="22"/>
        </w:rPr>
        <w:t>IV</w:t>
      </w:r>
      <w:r w:rsidRPr="00145B94">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234614">
      <w:pPr>
        <w:numPr>
          <w:ilvl w:val="0"/>
          <w:numId w:val="22"/>
        </w:numPr>
        <w:tabs>
          <w:tab w:val="left" w:pos="0"/>
        </w:tabs>
        <w:spacing w:after="120" w:line="276" w:lineRule="auto"/>
        <w:ind w:left="284" w:hanging="284"/>
        <w:jc w:val="both"/>
        <w:rPr>
          <w:rFonts w:ascii="Tahoma" w:hAnsi="Tahoma" w:cs="Tahoma"/>
          <w:sz w:val="20"/>
          <w:szCs w:val="22"/>
        </w:rPr>
      </w:pPr>
      <w:bookmarkStart w:id="19" w:name="_Hlk81506872"/>
      <w:r w:rsidRPr="00633675">
        <w:rPr>
          <w:rFonts w:ascii="Tahoma" w:hAnsi="Tahoma" w:cs="Tahoma"/>
          <w:sz w:val="20"/>
          <w:szCs w:val="22"/>
        </w:rPr>
        <w:t>Tato smlouva zaniká:</w:t>
      </w:r>
    </w:p>
    <w:p w14:paraId="0F9E8894" w14:textId="77777777" w:rsidR="00066D69" w:rsidRPr="00633675" w:rsidRDefault="00066D69" w:rsidP="00CC039E">
      <w:pPr>
        <w:pStyle w:val="Import3"/>
        <w:numPr>
          <w:ilvl w:val="0"/>
          <w:numId w:val="2"/>
        </w:numPr>
        <w:tabs>
          <w:tab w:val="clear" w:pos="437"/>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line="276" w:lineRule="auto"/>
        <w:ind w:left="284" w:firstLine="0"/>
        <w:jc w:val="both"/>
        <w:rPr>
          <w:rFonts w:ascii="Tahoma" w:hAnsi="Tahoma" w:cs="Tahoma"/>
          <w:sz w:val="20"/>
          <w:szCs w:val="22"/>
        </w:rPr>
      </w:pPr>
      <w:r w:rsidRPr="00633675">
        <w:rPr>
          <w:rFonts w:ascii="Tahoma" w:hAnsi="Tahoma" w:cs="Tahoma"/>
          <w:sz w:val="20"/>
          <w:szCs w:val="22"/>
        </w:rPr>
        <w:t>písemnou dohodou smluvních stran,</w:t>
      </w:r>
    </w:p>
    <w:p w14:paraId="4FEA3F93" w14:textId="7DAE51EC" w:rsidR="00066D69" w:rsidRDefault="00066D69" w:rsidP="00CC039E">
      <w:pPr>
        <w:pStyle w:val="Import5"/>
        <w:numPr>
          <w:ilvl w:val="0"/>
          <w:numId w:val="2"/>
        </w:numPr>
        <w:tabs>
          <w:tab w:val="clear" w:pos="437"/>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line="276" w:lineRule="auto"/>
        <w:ind w:left="709"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r w:rsidR="00234614">
        <w:rPr>
          <w:rFonts w:ascii="Tahoma" w:hAnsi="Tahoma" w:cs="Tahoma"/>
          <w:sz w:val="20"/>
          <w:szCs w:val="22"/>
        </w:rPr>
        <w:t>:</w:t>
      </w:r>
    </w:p>
    <w:p w14:paraId="731CFBF6" w14:textId="77777777" w:rsidR="00234614" w:rsidRPr="00234614" w:rsidRDefault="00234614" w:rsidP="00CC039E">
      <w:pPr>
        <w:pStyle w:val="Import5"/>
        <w:numPr>
          <w:ilvl w:val="0"/>
          <w:numId w:val="3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0"/>
          <w:tab w:val="num" w:pos="1072"/>
        </w:tabs>
        <w:spacing w:before="60"/>
        <w:ind w:left="993" w:hanging="284"/>
        <w:jc w:val="both"/>
        <w:rPr>
          <w:rFonts w:ascii="Tahoma" w:hAnsi="Tahoma" w:cs="Tahoma"/>
          <w:sz w:val="20"/>
          <w:szCs w:val="20"/>
        </w:rPr>
      </w:pPr>
      <w:r w:rsidRPr="00234614">
        <w:rPr>
          <w:rFonts w:ascii="Tahoma" w:hAnsi="Tahoma" w:cs="Tahoma"/>
          <w:sz w:val="20"/>
          <w:szCs w:val="20"/>
        </w:rPr>
        <w:t>neodevzdání zboží kupujícímu ve stanovené době plnění,</w:t>
      </w:r>
    </w:p>
    <w:p w14:paraId="39FAF831" w14:textId="77777777" w:rsidR="00234614" w:rsidRPr="00234614" w:rsidRDefault="00234614" w:rsidP="00CC039E">
      <w:pPr>
        <w:pStyle w:val="Import5"/>
        <w:numPr>
          <w:ilvl w:val="0"/>
          <w:numId w:val="3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0"/>
          <w:tab w:val="num" w:pos="1080"/>
        </w:tabs>
        <w:spacing w:before="60"/>
        <w:ind w:left="993" w:hanging="284"/>
        <w:jc w:val="both"/>
        <w:rPr>
          <w:rFonts w:ascii="Tahoma" w:hAnsi="Tahoma" w:cs="Tahoma"/>
          <w:sz w:val="20"/>
          <w:szCs w:val="20"/>
        </w:rPr>
      </w:pPr>
      <w:r w:rsidRPr="00234614">
        <w:rPr>
          <w:rFonts w:ascii="Tahoma" w:hAnsi="Tahoma" w:cs="Tahoma"/>
          <w:sz w:val="20"/>
          <w:szCs w:val="20"/>
        </w:rPr>
        <w:lastRenderedPageBreak/>
        <w:t>pokud má zboží vady, které je činí neupotřebitelným nebo nemá vlastnosti, které si kupující vymínil nebo o kterých ho prodávající ujistil,</w:t>
      </w:r>
    </w:p>
    <w:p w14:paraId="6C1031F6" w14:textId="77777777" w:rsidR="00234614" w:rsidRPr="00234614" w:rsidRDefault="00234614" w:rsidP="00CC039E">
      <w:pPr>
        <w:pStyle w:val="Import5"/>
        <w:numPr>
          <w:ilvl w:val="0"/>
          <w:numId w:val="3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0"/>
          <w:tab w:val="num" w:pos="1080"/>
        </w:tabs>
        <w:spacing w:before="60"/>
        <w:ind w:left="993" w:hanging="284"/>
        <w:jc w:val="both"/>
        <w:rPr>
          <w:rFonts w:ascii="Tahoma" w:hAnsi="Tahoma" w:cs="Tahoma"/>
          <w:sz w:val="20"/>
          <w:szCs w:val="20"/>
        </w:rPr>
      </w:pPr>
      <w:r w:rsidRPr="00234614">
        <w:rPr>
          <w:rFonts w:ascii="Tahoma" w:hAnsi="Tahoma" w:cs="Tahoma"/>
          <w:sz w:val="20"/>
          <w:szCs w:val="20"/>
        </w:rPr>
        <w:t>nedodržení smluvních ujednání o záruce za jakost nebo o právech z vadného plnění,</w:t>
      </w:r>
    </w:p>
    <w:p w14:paraId="4459931E" w14:textId="77777777" w:rsidR="00234614" w:rsidRPr="00234614" w:rsidRDefault="00234614" w:rsidP="00CC039E">
      <w:pPr>
        <w:pStyle w:val="Import5"/>
        <w:numPr>
          <w:ilvl w:val="0"/>
          <w:numId w:val="34"/>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0"/>
          <w:tab w:val="num" w:pos="1072"/>
        </w:tabs>
        <w:spacing w:before="60"/>
        <w:ind w:left="993" w:hanging="284"/>
        <w:jc w:val="both"/>
        <w:rPr>
          <w:rFonts w:ascii="Tahoma" w:hAnsi="Tahoma" w:cs="Tahoma"/>
          <w:sz w:val="20"/>
          <w:szCs w:val="20"/>
        </w:rPr>
      </w:pPr>
      <w:r w:rsidRPr="00234614">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2389B4D6" w14:textId="77777777" w:rsidR="00234614" w:rsidRPr="00633675" w:rsidRDefault="00234614" w:rsidP="00234614">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0"/>
        </w:tabs>
        <w:spacing w:after="120" w:line="276" w:lineRule="auto"/>
        <w:ind w:left="284" w:hanging="284"/>
        <w:jc w:val="both"/>
        <w:rPr>
          <w:rFonts w:ascii="Tahoma" w:hAnsi="Tahoma" w:cs="Tahoma"/>
          <w:sz w:val="20"/>
          <w:szCs w:val="22"/>
        </w:rPr>
      </w:pPr>
    </w:p>
    <w:p w14:paraId="71A79478" w14:textId="77777777" w:rsidR="00B2739B" w:rsidRPr="00633675" w:rsidRDefault="00B2739B" w:rsidP="00234614">
      <w:pPr>
        <w:numPr>
          <w:ilvl w:val="0"/>
          <w:numId w:val="22"/>
        </w:numPr>
        <w:tabs>
          <w:tab w:val="left" w:pos="0"/>
        </w:tabs>
        <w:spacing w:after="120" w:line="276" w:lineRule="auto"/>
        <w:ind w:left="284" w:hanging="284"/>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CC039E">
      <w:pPr>
        <w:widowControl w:val="0"/>
        <w:numPr>
          <w:ilvl w:val="0"/>
          <w:numId w:val="15"/>
        </w:numPr>
        <w:tabs>
          <w:tab w:val="clear" w:pos="1545"/>
        </w:tabs>
        <w:spacing w:after="120" w:line="276" w:lineRule="auto"/>
        <w:ind w:left="709" w:hanging="425"/>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CC039E">
      <w:pPr>
        <w:numPr>
          <w:ilvl w:val="0"/>
          <w:numId w:val="15"/>
        </w:numPr>
        <w:tabs>
          <w:tab w:val="clear" w:pos="1545"/>
        </w:tabs>
        <w:spacing w:after="120" w:line="276" w:lineRule="auto"/>
        <w:ind w:left="709" w:hanging="425"/>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234614">
      <w:pPr>
        <w:numPr>
          <w:ilvl w:val="0"/>
          <w:numId w:val="22"/>
        </w:numPr>
        <w:tabs>
          <w:tab w:val="left" w:pos="0"/>
        </w:tabs>
        <w:spacing w:after="120" w:line="276" w:lineRule="auto"/>
        <w:ind w:left="284" w:hanging="284"/>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234614">
      <w:pPr>
        <w:numPr>
          <w:ilvl w:val="0"/>
          <w:numId w:val="22"/>
        </w:numPr>
        <w:tabs>
          <w:tab w:val="left" w:pos="0"/>
        </w:tabs>
        <w:spacing w:after="120" w:line="276" w:lineRule="auto"/>
        <w:ind w:left="284" w:hanging="284"/>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p w14:paraId="16E6938E" w14:textId="77777777" w:rsidR="00A612B8" w:rsidRPr="00633675" w:rsidRDefault="00A612B8" w:rsidP="00511AD2">
      <w:pPr>
        <w:tabs>
          <w:tab w:val="left" w:pos="0"/>
        </w:tabs>
        <w:spacing w:after="120" w:line="276" w:lineRule="auto"/>
        <w:ind w:left="425"/>
        <w:jc w:val="both"/>
        <w:rPr>
          <w:rFonts w:ascii="Tahoma" w:hAnsi="Tahoma" w:cs="Tahoma"/>
          <w:sz w:val="20"/>
          <w:szCs w:val="22"/>
        </w:rPr>
      </w:pPr>
    </w:p>
    <w:bookmarkEnd w:id="19"/>
    <w:p w14:paraId="2A3D7B8C" w14:textId="308EF6E9"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566577">
      <w:pPr>
        <w:numPr>
          <w:ilvl w:val="0"/>
          <w:numId w:val="28"/>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566577">
      <w:pPr>
        <w:numPr>
          <w:ilvl w:val="0"/>
          <w:numId w:val="28"/>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566577">
      <w:pPr>
        <w:numPr>
          <w:ilvl w:val="0"/>
          <w:numId w:val="28"/>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566577">
      <w:pPr>
        <w:numPr>
          <w:ilvl w:val="0"/>
          <w:numId w:val="28"/>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566577">
      <w:pPr>
        <w:numPr>
          <w:ilvl w:val="0"/>
          <w:numId w:val="28"/>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566577">
      <w:pPr>
        <w:numPr>
          <w:ilvl w:val="0"/>
          <w:numId w:val="28"/>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566577">
      <w:pPr>
        <w:numPr>
          <w:ilvl w:val="0"/>
          <w:numId w:val="28"/>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566577">
      <w:pPr>
        <w:numPr>
          <w:ilvl w:val="0"/>
          <w:numId w:val="28"/>
        </w:numPr>
        <w:spacing w:after="120" w:line="276" w:lineRule="auto"/>
        <w:jc w:val="both"/>
        <w:rPr>
          <w:rFonts w:ascii="Tahoma" w:hAnsi="Tahoma" w:cs="Tahoma"/>
          <w:sz w:val="20"/>
          <w:szCs w:val="22"/>
        </w:rPr>
      </w:pPr>
      <w:r w:rsidRPr="00205454">
        <w:rPr>
          <w:rFonts w:ascii="Tahoma" w:hAnsi="Tahoma" w:cs="Tahoma"/>
          <w:sz w:val="20"/>
          <w:szCs w:val="22"/>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w:t>
      </w:r>
      <w:r w:rsidRPr="00205454">
        <w:rPr>
          <w:rFonts w:ascii="Tahoma" w:hAnsi="Tahoma" w:cs="Tahoma"/>
          <w:sz w:val="20"/>
          <w:szCs w:val="22"/>
        </w:rPr>
        <w:lastRenderedPageBreak/>
        <w:t>informace o ochraně osobních údajů jsou uvedeny na oficiálních webových stránkách kupujícího https://www.snopava.cz/nemocnice/ochrana-osobnich-udaju</w:t>
      </w:r>
      <w:r>
        <w:rPr>
          <w:rFonts w:ascii="Tahoma" w:hAnsi="Tahoma" w:cs="Tahoma"/>
          <w:sz w:val="20"/>
          <w:szCs w:val="22"/>
        </w:rPr>
        <w:t>.</w:t>
      </w:r>
    </w:p>
    <w:p w14:paraId="40CBB4BA" w14:textId="77777777" w:rsidR="00271275" w:rsidRPr="00C6775B" w:rsidRDefault="00271275" w:rsidP="00566577">
      <w:pPr>
        <w:numPr>
          <w:ilvl w:val="0"/>
          <w:numId w:val="28"/>
        </w:numPr>
        <w:tabs>
          <w:tab w:val="left" w:pos="566"/>
        </w:tabs>
        <w:suppressAutoHyphens/>
        <w:spacing w:after="120" w:line="276" w:lineRule="auto"/>
        <w:jc w:val="both"/>
        <w:rPr>
          <w:rFonts w:ascii="Tahoma" w:hAnsi="Tahoma" w:cs="Tahoma"/>
          <w:strike/>
          <w:sz w:val="20"/>
          <w:szCs w:val="20"/>
        </w:rPr>
      </w:pPr>
      <w:r w:rsidRPr="00C6775B">
        <w:rPr>
          <w:rFonts w:ascii="Tahoma" w:hAnsi="Tahoma" w:cs="Tahoma"/>
          <w:sz w:val="20"/>
          <w:szCs w:val="20"/>
        </w:rPr>
        <w:t>Součástí kupní smlouvy j</w:t>
      </w:r>
      <w:r>
        <w:rPr>
          <w:rFonts w:ascii="Tahoma" w:hAnsi="Tahoma" w:cs="Tahoma"/>
          <w:sz w:val="20"/>
          <w:szCs w:val="20"/>
        </w:rPr>
        <w:t>e</w:t>
      </w:r>
      <w:r w:rsidRPr="00C6775B">
        <w:rPr>
          <w:rFonts w:ascii="Tahoma" w:hAnsi="Tahoma" w:cs="Tahoma"/>
          <w:sz w:val="20"/>
          <w:szCs w:val="20"/>
        </w:rPr>
        <w:t xml:space="preserve">:  </w:t>
      </w:r>
    </w:p>
    <w:p w14:paraId="183D8AB0" w14:textId="6B02C744" w:rsidR="004979E1" w:rsidRDefault="004979E1" w:rsidP="008403EA">
      <w:pPr>
        <w:spacing w:line="276" w:lineRule="auto"/>
        <w:ind w:left="426"/>
        <w:jc w:val="both"/>
        <w:rPr>
          <w:rFonts w:ascii="Tahoma" w:hAnsi="Tahoma" w:cs="Tahoma"/>
          <w:sz w:val="20"/>
          <w:szCs w:val="22"/>
        </w:rPr>
      </w:pPr>
      <w:r w:rsidRPr="004979E1">
        <w:rPr>
          <w:rFonts w:ascii="Tahoma" w:hAnsi="Tahoma" w:cs="Tahoma"/>
          <w:sz w:val="20"/>
          <w:szCs w:val="22"/>
        </w:rPr>
        <w:t xml:space="preserve">Příloha č. 1 </w:t>
      </w:r>
      <w:r w:rsidR="00861560">
        <w:rPr>
          <w:rFonts w:ascii="Tahoma" w:hAnsi="Tahoma" w:cs="Tahoma"/>
          <w:sz w:val="20"/>
          <w:szCs w:val="22"/>
        </w:rPr>
        <w:t>Specifikace předmětu smlouvy</w:t>
      </w:r>
    </w:p>
    <w:p w14:paraId="09E7D466" w14:textId="718FC372" w:rsidR="00F514D6" w:rsidRDefault="00F514D6"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498"/>
        <w:gridCol w:w="4572"/>
      </w:tblGrid>
      <w:tr w:rsidR="003E7416" w:rsidRPr="00633675" w14:paraId="1339A9B9" w14:textId="77777777" w:rsidTr="00D70880">
        <w:tc>
          <w:tcPr>
            <w:tcW w:w="4581"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18F6C0D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633675">
              <w:rPr>
                <w:rFonts w:ascii="Tahoma" w:hAnsi="Tahoma" w:cs="Tahoma"/>
                <w:sz w:val="20"/>
                <w:szCs w:val="20"/>
              </w:rPr>
              <w:t>………………………</w:t>
            </w:r>
            <w:r w:rsidRPr="00633675">
              <w:rPr>
                <w:rFonts w:ascii="Tahoma" w:hAnsi="Tahoma" w:cs="Tahoma"/>
                <w:sz w:val="20"/>
                <w:szCs w:val="20"/>
              </w:rPr>
              <w:t>dne  ………</w:t>
            </w:r>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61413D93" w14:textId="77777777" w:rsidR="008403EA" w:rsidRDefault="008403EA" w:rsidP="007C0279">
            <w:pPr>
              <w:tabs>
                <w:tab w:val="left" w:pos="2707"/>
              </w:tabs>
              <w:spacing w:after="120" w:line="276" w:lineRule="auto"/>
              <w:ind w:left="425" w:hanging="425"/>
              <w:jc w:val="both"/>
              <w:rPr>
                <w:rFonts w:ascii="Tahoma" w:hAnsi="Tahoma" w:cs="Tahoma"/>
                <w:sz w:val="20"/>
                <w:szCs w:val="20"/>
              </w:rPr>
            </w:pPr>
          </w:p>
          <w:p w14:paraId="1EE421FF"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9B6D360" w14:textId="35D7EEA8" w:rsidR="006D6317" w:rsidRDefault="006D6317" w:rsidP="007C0279">
            <w:pPr>
              <w:tabs>
                <w:tab w:val="left" w:pos="2707"/>
              </w:tabs>
              <w:spacing w:after="120" w:line="276" w:lineRule="auto"/>
              <w:ind w:left="425" w:hanging="425"/>
              <w:jc w:val="both"/>
              <w:rPr>
                <w:rFonts w:ascii="Tahoma" w:hAnsi="Tahoma" w:cs="Tahoma"/>
                <w:sz w:val="20"/>
                <w:szCs w:val="20"/>
              </w:rPr>
            </w:pPr>
          </w:p>
          <w:p w14:paraId="2B8D7100"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30F8F533"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52485C2B"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2192691D" w14:textId="4C5E9AB7" w:rsidR="00E6187E" w:rsidRDefault="00E6187E">
      <w:pPr>
        <w:rPr>
          <w:rFonts w:ascii="Tahoma" w:hAnsi="Tahoma" w:cs="Tahoma"/>
          <w:sz w:val="20"/>
          <w:szCs w:val="20"/>
        </w:rPr>
      </w:pPr>
      <w:r>
        <w:rPr>
          <w:rFonts w:ascii="Tahoma" w:hAnsi="Tahoma" w:cs="Tahoma"/>
          <w:sz w:val="20"/>
          <w:szCs w:val="20"/>
        </w:rPr>
        <w:br w:type="page"/>
      </w:r>
    </w:p>
    <w:p w14:paraId="40B56C3E" w14:textId="32A663C8"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01D21B0A" w14:textId="4087D4EE" w:rsidR="008A363E" w:rsidRPr="008A363E" w:rsidRDefault="00633675" w:rsidP="00ED39A6">
      <w:pPr>
        <w:spacing w:after="120" w:line="276" w:lineRule="auto"/>
        <w:ind w:left="425" w:hanging="425"/>
        <w:rPr>
          <w:rFonts w:ascii="Tahoma" w:hAnsi="Tahoma" w:cs="Tahoma"/>
          <w:b/>
          <w:iCs/>
          <w:sz w:val="20"/>
          <w:szCs w:val="22"/>
        </w:rPr>
      </w:pPr>
      <w:r w:rsidRPr="00633675">
        <w:rPr>
          <w:rFonts w:ascii="Tahoma" w:hAnsi="Tahoma" w:cs="Tahoma"/>
          <w:bCs/>
          <w:i/>
          <w:color w:val="FF0000"/>
          <w:sz w:val="20"/>
          <w:szCs w:val="22"/>
        </w:rPr>
        <w:t>(doplní účastník ZŘ v souladu se svou nabídkou)</w:t>
      </w:r>
    </w:p>
    <w:sectPr w:rsidR="008A363E" w:rsidRPr="008A363E" w:rsidSect="00D83A06">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03E20" w14:textId="77777777" w:rsidR="00D734F9" w:rsidRDefault="00D734F9">
      <w:r>
        <w:separator/>
      </w:r>
    </w:p>
    <w:p w14:paraId="5E5C07F2" w14:textId="77777777" w:rsidR="00D734F9" w:rsidRDefault="00D734F9"/>
  </w:endnote>
  <w:endnote w:type="continuationSeparator" w:id="0">
    <w:p w14:paraId="0AB28F24" w14:textId="77777777" w:rsidR="00D734F9" w:rsidRDefault="00D734F9">
      <w:r>
        <w:continuationSeparator/>
      </w:r>
    </w:p>
    <w:p w14:paraId="7F2A051B" w14:textId="77777777" w:rsidR="00D734F9" w:rsidRDefault="00D734F9"/>
    <w:p w14:paraId="0A12E362" w14:textId="77777777" w:rsidR="00D734F9" w:rsidRDefault="00D734F9">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D734F9">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65D9A4AC" w:rsidR="00073BB0" w:rsidRPr="001F2FF6" w:rsidRDefault="003871B7" w:rsidP="00F514D6">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C460B6">
      <w:rPr>
        <w:rFonts w:ascii="Verdana" w:hAnsi="Verdana"/>
        <w:sz w:val="18"/>
        <w:szCs w:val="18"/>
      </w:rPr>
      <w:t>6</w:t>
    </w:r>
    <w:r w:rsidRPr="005C4047">
      <w:rPr>
        <w:rFonts w:ascii="Verdana" w:hAnsi="Verdana"/>
        <w:sz w:val="18"/>
        <w:szCs w:val="18"/>
      </w:rPr>
      <w:t>/</w:t>
    </w:r>
    <w:r w:rsidR="00C460B6">
      <w:rPr>
        <w:rFonts w:ascii="Verdana" w:hAnsi="Verdana"/>
        <w:sz w:val="18"/>
        <w:szCs w:val="18"/>
      </w:rPr>
      <w:t>0</w:t>
    </w:r>
    <w:r w:rsidR="006D76DC">
      <w:rPr>
        <w:rFonts w:ascii="Verdana" w:hAnsi="Verdana"/>
        <w:sz w:val="18"/>
        <w:szCs w:val="18"/>
      </w:rPr>
      <w:t>8</w:t>
    </w:r>
    <w:r>
      <w:rPr>
        <w:rFonts w:ascii="Verdana" w:hAnsi="Verdana"/>
        <w:sz w:val="18"/>
        <w:szCs w:val="18"/>
      </w:rPr>
      <w:t>/</w:t>
    </w:r>
    <w:r w:rsidR="002927DF">
      <w:rPr>
        <w:rFonts w:ascii="Verdana" w:hAnsi="Verdana"/>
        <w:sz w:val="18"/>
        <w:szCs w:val="18"/>
      </w:rPr>
      <w:t>UZV</w:t>
    </w:r>
    <w:r w:rsidR="00023DED">
      <w:rPr>
        <w:rFonts w:ascii="Verdana" w:hAnsi="Verdana"/>
        <w:sz w:val="18"/>
        <w:szCs w:val="18"/>
      </w:rPr>
      <w:t>-2ks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D734F9">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F36538">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210AD" w14:textId="77777777" w:rsidR="00D734F9" w:rsidRDefault="00D734F9">
      <w:r>
        <w:separator/>
      </w:r>
    </w:p>
    <w:p w14:paraId="69969E8D" w14:textId="77777777" w:rsidR="00D734F9" w:rsidRDefault="00D734F9"/>
  </w:footnote>
  <w:footnote w:type="continuationSeparator" w:id="0">
    <w:p w14:paraId="02823B96" w14:textId="77777777" w:rsidR="00D734F9" w:rsidRDefault="00D734F9">
      <w:r>
        <w:continuationSeparator/>
      </w:r>
    </w:p>
    <w:p w14:paraId="59349254" w14:textId="77777777" w:rsidR="00D734F9" w:rsidRDefault="00D73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09A889DD" w:rsidR="009F3118" w:rsidRPr="009F3118" w:rsidRDefault="009F3118">
    <w:pPr>
      <w:pStyle w:val="Zhlav"/>
      <w:rPr>
        <w:rFonts w:ascii="Verdana" w:hAnsi="Verdana"/>
        <w:sz w:val="18"/>
        <w:szCs w:val="18"/>
      </w:rPr>
    </w:pPr>
    <w:r w:rsidRPr="009F3118">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6"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8F94245"/>
    <w:multiLevelType w:val="hybridMultilevel"/>
    <w:tmpl w:val="2084D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6"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17"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1"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2"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2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5"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57273C33"/>
    <w:multiLevelType w:val="hybridMultilevel"/>
    <w:tmpl w:val="72D2472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DC47C9E"/>
    <w:multiLevelType w:val="hybridMultilevel"/>
    <w:tmpl w:val="C9A8E25E"/>
    <w:lvl w:ilvl="0" w:tplc="E654ABDA">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822F08"/>
    <w:multiLevelType w:val="multilevel"/>
    <w:tmpl w:val="F3220A08"/>
    <w:lvl w:ilvl="0">
      <w:start w:val="1"/>
      <w:numFmt w:val="decimal"/>
      <w:lvlText w:val="%1."/>
      <w:lvlJc w:val="left"/>
      <w:pPr>
        <w:tabs>
          <w:tab w:val="num" w:pos="502"/>
        </w:tabs>
        <w:ind w:left="502"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2"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3"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9"/>
  </w:num>
  <w:num w:numId="3">
    <w:abstractNumId w:val="11"/>
  </w:num>
  <w:num w:numId="4">
    <w:abstractNumId w:val="22"/>
  </w:num>
  <w:num w:numId="5">
    <w:abstractNumId w:val="6"/>
  </w:num>
  <w:num w:numId="6">
    <w:abstractNumId w:val="15"/>
  </w:num>
  <w:num w:numId="7">
    <w:abstractNumId w:val="25"/>
  </w:num>
  <w:num w:numId="8">
    <w:abstractNumId w:val="13"/>
  </w:num>
  <w:num w:numId="9">
    <w:abstractNumId w:val="29"/>
  </w:num>
  <w:num w:numId="10">
    <w:abstractNumId w:val="34"/>
  </w:num>
  <w:num w:numId="11">
    <w:abstractNumId w:val="26"/>
  </w:num>
  <w:num w:numId="12">
    <w:abstractNumId w:val="33"/>
  </w:num>
  <w:num w:numId="13">
    <w:abstractNumId w:val="10"/>
  </w:num>
  <w:num w:numId="14">
    <w:abstractNumId w:val="21"/>
  </w:num>
  <w:num w:numId="15">
    <w:abstractNumId w:val="12"/>
  </w:num>
  <w:num w:numId="16">
    <w:abstractNumId w:val="14"/>
  </w:num>
  <w:num w:numId="17">
    <w:abstractNumId w:val="24"/>
  </w:num>
  <w:num w:numId="18">
    <w:abstractNumId w:val="35"/>
  </w:num>
  <w:num w:numId="19">
    <w:abstractNumId w:val="18"/>
  </w:num>
  <w:num w:numId="20">
    <w:abstractNumId w:val="8"/>
  </w:num>
  <w:num w:numId="21">
    <w:abstractNumId w:val="27"/>
  </w:num>
  <w:num w:numId="22">
    <w:abstractNumId w:val="17"/>
  </w:num>
  <w:num w:numId="23">
    <w:abstractNumId w:val="19"/>
  </w:num>
  <w:num w:numId="24">
    <w:abstractNumId w:val="2"/>
    <w:lvlOverride w:ilvl="0">
      <w:startOverride w:val="1"/>
    </w:lvlOverride>
  </w:num>
  <w:num w:numId="25">
    <w:abstractNumId w:val="20"/>
  </w:num>
  <w:num w:numId="26">
    <w:abstractNumId w:val="23"/>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8"/>
  </w:num>
  <w:num w:numId="30">
    <w:abstractNumId w:val="31"/>
  </w:num>
  <w:num w:numId="31">
    <w:abstractNumId w:val="31"/>
    <w:lvlOverride w:ilvl="0">
      <w:startOverride w:val="1"/>
    </w:lvlOverride>
  </w:num>
  <w:num w:numId="32">
    <w:abstractNumId w:val="7"/>
  </w:num>
  <w:num w:numId="33">
    <w:abstractNumId w:val="30"/>
  </w:num>
  <w:num w:numId="34">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3DED"/>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D162B"/>
    <w:rsid w:val="000D182D"/>
    <w:rsid w:val="000D694E"/>
    <w:rsid w:val="000E1DEB"/>
    <w:rsid w:val="000E22E3"/>
    <w:rsid w:val="000E5A82"/>
    <w:rsid w:val="000F34B6"/>
    <w:rsid w:val="000F4834"/>
    <w:rsid w:val="000F7334"/>
    <w:rsid w:val="00101615"/>
    <w:rsid w:val="00102FC3"/>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532CE"/>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4614"/>
    <w:rsid w:val="0023764F"/>
    <w:rsid w:val="00242869"/>
    <w:rsid w:val="00242A6F"/>
    <w:rsid w:val="00243AB5"/>
    <w:rsid w:val="00250C62"/>
    <w:rsid w:val="0025218D"/>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7324"/>
    <w:rsid w:val="002B0CD7"/>
    <w:rsid w:val="002B339C"/>
    <w:rsid w:val="002B3FE0"/>
    <w:rsid w:val="002B4CED"/>
    <w:rsid w:val="002B709B"/>
    <w:rsid w:val="002B7EB6"/>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B77"/>
    <w:rsid w:val="00351FE6"/>
    <w:rsid w:val="00352218"/>
    <w:rsid w:val="00356DDE"/>
    <w:rsid w:val="0035756E"/>
    <w:rsid w:val="00370920"/>
    <w:rsid w:val="00377951"/>
    <w:rsid w:val="00384B6B"/>
    <w:rsid w:val="0038717D"/>
    <w:rsid w:val="003871B7"/>
    <w:rsid w:val="00390A2D"/>
    <w:rsid w:val="00392100"/>
    <w:rsid w:val="00392D02"/>
    <w:rsid w:val="00395F66"/>
    <w:rsid w:val="003970A3"/>
    <w:rsid w:val="003A2614"/>
    <w:rsid w:val="003A4493"/>
    <w:rsid w:val="003A45A9"/>
    <w:rsid w:val="003B7B6F"/>
    <w:rsid w:val="003C0B27"/>
    <w:rsid w:val="003C1697"/>
    <w:rsid w:val="003C3AEF"/>
    <w:rsid w:val="003C3E32"/>
    <w:rsid w:val="003C4240"/>
    <w:rsid w:val="003D07FB"/>
    <w:rsid w:val="003D0846"/>
    <w:rsid w:val="003D10A2"/>
    <w:rsid w:val="003D201E"/>
    <w:rsid w:val="003D4C8F"/>
    <w:rsid w:val="003D5EC4"/>
    <w:rsid w:val="003E1214"/>
    <w:rsid w:val="003E7416"/>
    <w:rsid w:val="003F13B7"/>
    <w:rsid w:val="003F3A4C"/>
    <w:rsid w:val="003F4913"/>
    <w:rsid w:val="003F510F"/>
    <w:rsid w:val="003F551F"/>
    <w:rsid w:val="003F5A3A"/>
    <w:rsid w:val="00400319"/>
    <w:rsid w:val="00402976"/>
    <w:rsid w:val="004042DD"/>
    <w:rsid w:val="0040446C"/>
    <w:rsid w:val="0041064F"/>
    <w:rsid w:val="004126D5"/>
    <w:rsid w:val="00414C09"/>
    <w:rsid w:val="00416ECD"/>
    <w:rsid w:val="00420EF8"/>
    <w:rsid w:val="004235DC"/>
    <w:rsid w:val="00427FA8"/>
    <w:rsid w:val="00430395"/>
    <w:rsid w:val="00433818"/>
    <w:rsid w:val="00437729"/>
    <w:rsid w:val="0044222C"/>
    <w:rsid w:val="004437E9"/>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79E1"/>
    <w:rsid w:val="004A05C6"/>
    <w:rsid w:val="004A3939"/>
    <w:rsid w:val="004A5D34"/>
    <w:rsid w:val="004A628A"/>
    <w:rsid w:val="004B1C50"/>
    <w:rsid w:val="004B3347"/>
    <w:rsid w:val="004B4E16"/>
    <w:rsid w:val="004B505D"/>
    <w:rsid w:val="004B69E4"/>
    <w:rsid w:val="004C125A"/>
    <w:rsid w:val="004C3E58"/>
    <w:rsid w:val="004D2942"/>
    <w:rsid w:val="004E7BF2"/>
    <w:rsid w:val="004F185C"/>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5E6A"/>
    <w:rsid w:val="00527222"/>
    <w:rsid w:val="0053094A"/>
    <w:rsid w:val="00532BD2"/>
    <w:rsid w:val="00542288"/>
    <w:rsid w:val="00543C96"/>
    <w:rsid w:val="0054698F"/>
    <w:rsid w:val="005471D6"/>
    <w:rsid w:val="0055279E"/>
    <w:rsid w:val="005540F9"/>
    <w:rsid w:val="0055449E"/>
    <w:rsid w:val="00566577"/>
    <w:rsid w:val="005706E1"/>
    <w:rsid w:val="00581103"/>
    <w:rsid w:val="005843FB"/>
    <w:rsid w:val="0058472E"/>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1F9D"/>
    <w:rsid w:val="005E2FC0"/>
    <w:rsid w:val="005F0D2C"/>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723F9"/>
    <w:rsid w:val="00680F11"/>
    <w:rsid w:val="0068110F"/>
    <w:rsid w:val="006829CB"/>
    <w:rsid w:val="006842FD"/>
    <w:rsid w:val="006852AF"/>
    <w:rsid w:val="00687558"/>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D76DC"/>
    <w:rsid w:val="006E0A9C"/>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2152"/>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39E0"/>
    <w:rsid w:val="00945A25"/>
    <w:rsid w:val="009512E0"/>
    <w:rsid w:val="00952CA9"/>
    <w:rsid w:val="0095429E"/>
    <w:rsid w:val="009601F0"/>
    <w:rsid w:val="00962FA6"/>
    <w:rsid w:val="0096582C"/>
    <w:rsid w:val="00966A3A"/>
    <w:rsid w:val="009676DB"/>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3335D"/>
    <w:rsid w:val="00A33DD0"/>
    <w:rsid w:val="00A350FA"/>
    <w:rsid w:val="00A35581"/>
    <w:rsid w:val="00A36E8B"/>
    <w:rsid w:val="00A458B5"/>
    <w:rsid w:val="00A50351"/>
    <w:rsid w:val="00A50DD2"/>
    <w:rsid w:val="00A612B8"/>
    <w:rsid w:val="00A620D5"/>
    <w:rsid w:val="00A6487B"/>
    <w:rsid w:val="00A67DB2"/>
    <w:rsid w:val="00A71378"/>
    <w:rsid w:val="00A74113"/>
    <w:rsid w:val="00A83AE6"/>
    <w:rsid w:val="00A84162"/>
    <w:rsid w:val="00A867B9"/>
    <w:rsid w:val="00A92C9A"/>
    <w:rsid w:val="00A945F1"/>
    <w:rsid w:val="00A95090"/>
    <w:rsid w:val="00A95A5B"/>
    <w:rsid w:val="00AA5697"/>
    <w:rsid w:val="00AB1FF8"/>
    <w:rsid w:val="00AB5B15"/>
    <w:rsid w:val="00AB6033"/>
    <w:rsid w:val="00AB67E5"/>
    <w:rsid w:val="00AC0D11"/>
    <w:rsid w:val="00AC1F90"/>
    <w:rsid w:val="00AC58F7"/>
    <w:rsid w:val="00AC7B65"/>
    <w:rsid w:val="00AD28BA"/>
    <w:rsid w:val="00AD61FC"/>
    <w:rsid w:val="00AD6B99"/>
    <w:rsid w:val="00AE469D"/>
    <w:rsid w:val="00AF40CB"/>
    <w:rsid w:val="00AF5D57"/>
    <w:rsid w:val="00B00430"/>
    <w:rsid w:val="00B00828"/>
    <w:rsid w:val="00B01469"/>
    <w:rsid w:val="00B03466"/>
    <w:rsid w:val="00B07A58"/>
    <w:rsid w:val="00B07DE1"/>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5033"/>
    <w:rsid w:val="00B54AD2"/>
    <w:rsid w:val="00B563A8"/>
    <w:rsid w:val="00B56D7C"/>
    <w:rsid w:val="00B60673"/>
    <w:rsid w:val="00B6133F"/>
    <w:rsid w:val="00B61C73"/>
    <w:rsid w:val="00B63017"/>
    <w:rsid w:val="00B63C03"/>
    <w:rsid w:val="00B66E29"/>
    <w:rsid w:val="00B677D2"/>
    <w:rsid w:val="00B7455C"/>
    <w:rsid w:val="00B805D4"/>
    <w:rsid w:val="00B8371E"/>
    <w:rsid w:val="00B87525"/>
    <w:rsid w:val="00B902ED"/>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06A78"/>
    <w:rsid w:val="00C14621"/>
    <w:rsid w:val="00C176D0"/>
    <w:rsid w:val="00C20471"/>
    <w:rsid w:val="00C20853"/>
    <w:rsid w:val="00C21325"/>
    <w:rsid w:val="00C252C1"/>
    <w:rsid w:val="00C32ACF"/>
    <w:rsid w:val="00C35DAA"/>
    <w:rsid w:val="00C36711"/>
    <w:rsid w:val="00C40248"/>
    <w:rsid w:val="00C4051A"/>
    <w:rsid w:val="00C42050"/>
    <w:rsid w:val="00C460B6"/>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3444"/>
    <w:rsid w:val="00C934EF"/>
    <w:rsid w:val="00C95223"/>
    <w:rsid w:val="00C9591A"/>
    <w:rsid w:val="00C961F2"/>
    <w:rsid w:val="00C97812"/>
    <w:rsid w:val="00CA2BBB"/>
    <w:rsid w:val="00CA3B6F"/>
    <w:rsid w:val="00CB1D20"/>
    <w:rsid w:val="00CB1FE4"/>
    <w:rsid w:val="00CB6D67"/>
    <w:rsid w:val="00CC039E"/>
    <w:rsid w:val="00CC683A"/>
    <w:rsid w:val="00CD398D"/>
    <w:rsid w:val="00CD5CB9"/>
    <w:rsid w:val="00CE4D87"/>
    <w:rsid w:val="00CE59D2"/>
    <w:rsid w:val="00CF0897"/>
    <w:rsid w:val="00D00004"/>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68B6"/>
    <w:rsid w:val="00D46DC9"/>
    <w:rsid w:val="00D47735"/>
    <w:rsid w:val="00D55AF4"/>
    <w:rsid w:val="00D63D63"/>
    <w:rsid w:val="00D64AF3"/>
    <w:rsid w:val="00D67973"/>
    <w:rsid w:val="00D70880"/>
    <w:rsid w:val="00D70FCB"/>
    <w:rsid w:val="00D72D19"/>
    <w:rsid w:val="00D72DF4"/>
    <w:rsid w:val="00D734F9"/>
    <w:rsid w:val="00D74719"/>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3CA"/>
    <w:rsid w:val="00DB3D19"/>
    <w:rsid w:val="00DB69A9"/>
    <w:rsid w:val="00DC7782"/>
    <w:rsid w:val="00DD23F1"/>
    <w:rsid w:val="00DD3231"/>
    <w:rsid w:val="00DE0323"/>
    <w:rsid w:val="00DE40ED"/>
    <w:rsid w:val="00DE417C"/>
    <w:rsid w:val="00DE494F"/>
    <w:rsid w:val="00DF587C"/>
    <w:rsid w:val="00DF7F73"/>
    <w:rsid w:val="00E002DD"/>
    <w:rsid w:val="00E04F18"/>
    <w:rsid w:val="00E071D2"/>
    <w:rsid w:val="00E07AFC"/>
    <w:rsid w:val="00E13BB1"/>
    <w:rsid w:val="00E15AD4"/>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019A"/>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73D9"/>
    <w:rsid w:val="00ED04D6"/>
    <w:rsid w:val="00ED0F9F"/>
    <w:rsid w:val="00ED39A6"/>
    <w:rsid w:val="00ED4184"/>
    <w:rsid w:val="00ED5F94"/>
    <w:rsid w:val="00ED6A27"/>
    <w:rsid w:val="00ED6F2A"/>
    <w:rsid w:val="00EE02C4"/>
    <w:rsid w:val="00EE630A"/>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36538"/>
    <w:rsid w:val="00F453A0"/>
    <w:rsid w:val="00F50C30"/>
    <w:rsid w:val="00F514D6"/>
    <w:rsid w:val="00F57658"/>
    <w:rsid w:val="00F57C74"/>
    <w:rsid w:val="00F6007D"/>
    <w:rsid w:val="00F609E4"/>
    <w:rsid w:val="00F6515B"/>
    <w:rsid w:val="00F65D8D"/>
    <w:rsid w:val="00F81D8E"/>
    <w:rsid w:val="00F82BEA"/>
    <w:rsid w:val="00F85064"/>
    <w:rsid w:val="00F90C11"/>
    <w:rsid w:val="00FA6687"/>
    <w:rsid w:val="00FB3D20"/>
    <w:rsid w:val="00FB3FDF"/>
    <w:rsid w:val="00FB47DA"/>
    <w:rsid w:val="00FB4B32"/>
    <w:rsid w:val="00FB5EC9"/>
    <w:rsid w:val="00FC0DFA"/>
    <w:rsid w:val="00FC1FE9"/>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CD0B001"/>
  <w15:docId w15:val="{E03902F8-84EC-4E37-9FA5-395CDD60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0"/>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17"/>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qFormat/>
    <w:rsid w:val="00D83A06"/>
    <w:pPr>
      <w:numPr>
        <w:numId w:val="27"/>
      </w:numPr>
      <w:spacing w:before="60"/>
    </w:pPr>
    <w:rPr>
      <w:rFonts w:ascii="Franklin Gothic Book" w:hAnsi="Franklin Gothic Book"/>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F59C1-B3B1-4EEA-AD96-C74E0011E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12</Pages>
  <Words>4433</Words>
  <Characters>26156</Characters>
  <Application>Microsoft Office Word</Application>
  <DocSecurity>0</DocSecurity>
  <Lines>217</Lines>
  <Paragraphs>61</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30528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Jakub Kološ</dc:creator>
  <cp:lastModifiedBy>Věra Halfarová</cp:lastModifiedBy>
  <cp:revision>3</cp:revision>
  <cp:lastPrinted>2026-04-22T07:08:00Z</cp:lastPrinted>
  <dcterms:created xsi:type="dcterms:W3CDTF">2026-04-20T10:37:00Z</dcterms:created>
  <dcterms:modified xsi:type="dcterms:W3CDTF">2026-04-22T09:19:00Z</dcterms:modified>
</cp:coreProperties>
</file>